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УДК 612.067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360" w:lineRule="auto"/>
        <w:jc w:val="center"/>
        <w:suppressAutoHyphens/>
        <w:hyphenationLines w:val="0"/>
        <w:rPr>
          <w:sz w:val="28"/>
          <w:szCs w:val="28"/>
        </w:rPr>
      </w:pPr>
      <w:r>
        <w:rPr>
          <w:b/>
          <w:bCs/>
          <w:sz w:val="28"/>
          <w:szCs w:val="28"/>
        </w:rPr>
        <w:t>Анализ особенностей влияния вегетативного тонуса на функционирование системы кровообращения у младших школьников</w:t>
      </w:r>
      <w:r>
        <w:rPr>
          <w:sz w:val="28"/>
          <w:szCs w:val="28"/>
        </w:rPr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Бражникова А.В.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737" w:right="737" w:firstLine="34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Проведен анализ особенностей влияния вегетативного тонуса на систему кровообращения младших школьников. Предложены рекомендации по компенсации негативного влияния дисфункции вегетативного тонуса на здоровье младших школьников за счет деференциации нагрузок на них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влияния учебно - воспитательного процесса на состояние здоровья школьников является важнейшей для общества задачей. Ее решение направлено в будущие и учитывает перспективы роли и места дееспособного человека в развитии самого общества.</w:t>
      </w:r>
    </w:p>
    <w:p>
      <w:pPr>
        <w:ind w:firstLine="70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в исследованиях зависимости здоровья от интенсивности учебно - воспитательного процесса специалисты уделяют школьникам в возрасте 7-10 лет, так как именно в это период происходит интенсивная перестройка органов и систем ребенка при существенном увеличении умственной нагрузки на фоне снижения двигательной активности ребенка и возрастании психоэмоциональных влияний на детей [1, 2, 9].</w:t>
      </w:r>
    </w:p>
    <w:p>
      <w:pPr>
        <w:ind w:firstLine="709"/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Существует ряд фундаментальных работ, посвященных исследованию влияния учебно - воспитательного процесса на жизнь и здоровье школьников [4, 7 - 9]. В них ответная реакция организма на воздействия рассматривается через показатели функционирования </w:t>
      </w:r>
      <w:r>
        <w:rPr>
          <w:rFonts w:eastAsia="Times New Roman"/>
          <w:sz w:val="28"/>
          <w:szCs w:val="28"/>
        </w:rPr>
        <w:t>системы кровообращения. Измерение показателей организма производится с помощью тестов и проб. На основе резултатов измерений предлагаются методы коррекции здоровья. Однако, один из основных фактор влияния - перестройка вегетативной нервной системы, характерный именно для этого периода развития ребенка, в них исследован недостаточно полно.</w:t>
      </w:r>
      <w:r>
        <w:rPr>
          <w:rFonts w:eastAsia="Times New Roman"/>
          <w:sz w:val="28"/>
          <w:szCs w:val="28"/>
        </w:rPr>
      </w:r>
    </w:p>
    <w:p>
      <w:pPr>
        <w:ind w:firstLine="709"/>
        <w:spacing w:line="360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работах [2, 5 - 7] показано, что в возрасте 7 - 10 лет у детей наблюдается интенсивная </w:t>
      </w:r>
      <w:r>
        <w:rPr>
          <w:rFonts w:eastAsia="Times New Roman"/>
          <w:bCs/>
          <w:color w:val="000000"/>
          <w:sz w:val="28"/>
          <w:szCs w:val="28"/>
        </w:rPr>
        <w:t xml:space="preserve">перестройка симпатического и парасимпатического отделов вегетативной нервной системы. </w:t>
      </w:r>
      <w:r>
        <w:rPr>
          <w:rFonts w:eastAsia="Times New Roman"/>
          <w:bCs/>
          <w:sz w:val="28"/>
          <w:szCs w:val="28"/>
        </w:rPr>
        <w:t xml:space="preserve">Перестройка характерна для обеих половых групп с некоторыми особенностями. Причем, степень изменения </w:t>
      </w:r>
      <w:r>
        <w:rPr>
          <w:rFonts w:eastAsia="Times New Roman"/>
          <w:bCs/>
          <w:color w:val="000000"/>
          <w:sz w:val="28"/>
          <w:szCs w:val="28"/>
        </w:rPr>
        <w:t xml:space="preserve">симпатического и парасимпатического отделов вегетативной нервной системы у школьников индивидуальна. </w:t>
      </w:r>
      <w:r>
        <w:rPr>
          <w:rFonts w:eastAsia="Times New Roman"/>
          <w:bCs/>
          <w:sz w:val="28"/>
          <w:szCs w:val="28"/>
        </w:rPr>
        <w:t>У подавляющего большинства младших школьников вегетативная нестабильность проявляется через преобладающее влияние симпатических или парасимпатических явлений на сердечный ритм.</w:t>
      </w:r>
      <w:r>
        <w:rPr>
          <w:rFonts w:eastAsia="Times New Roman"/>
          <w:bCs/>
          <w:sz w:val="28"/>
          <w:szCs w:val="28"/>
        </w:rPr>
      </w:r>
    </w:p>
    <w:p>
      <w:pPr>
        <w:ind w:firstLine="709"/>
        <w:spacing w:line="360" w:lineRule="auto"/>
        <w:jc w:val="both"/>
      </w:pPr>
      <w:r>
        <w:rPr>
          <w:rFonts w:eastAsia="Times New Roman"/>
          <w:bCs/>
          <w:sz w:val="28"/>
          <w:szCs w:val="28"/>
        </w:rPr>
        <w:t xml:space="preserve">Адаптационные механизмы стремятся компенсировать </w:t>
      </w:r>
      <w:r>
        <w:rPr>
          <w:rFonts w:eastAsia="Times New Roman"/>
          <w:bCs/>
          <w:color w:val="000000"/>
          <w:sz w:val="28"/>
          <w:szCs w:val="28"/>
        </w:rPr>
        <w:t>негативные воздействия учебно - воспитательного процесса на растущий организм. Однако, из - за особенностей преобладающего вегетативного статуса, адаптационные механизмы по разному</w:t>
      </w:r>
      <w:r>
        <w:rPr>
          <w:rFonts w:eastAsia="Times New Roman"/>
          <w:bCs/>
          <w:sz w:val="28"/>
          <w:szCs w:val="28"/>
        </w:rPr>
        <w:t xml:space="preserve"> влияют на показатели функционирования системы кровообращения и здоровья в целом.</w:t>
      </w:r>
      <w:r/>
    </w:p>
    <w:p>
      <w:pPr>
        <w:ind w:firstLine="737"/>
        <w:spacing w:line="360" w:lineRule="auto"/>
        <w:jc w:val="both"/>
        <w:keepNext/>
        <w:keepLines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Исходный вегетативный тонус определяет функциональное состояние системы кровообращения и уровень адаптации детского организма к внешним воздействиям. Так ваготоники обладают повышенной адаптацией организма в воздействию внешних раздражителей. Дети </w:t>
      </w:r>
      <w:r>
        <w:rPr>
          <w:rFonts w:eastAsia="Times New Roman"/>
          <w:sz w:val="28"/>
          <w:szCs w:val="28"/>
        </w:rPr>
        <w:t>симпатикотоники, обладая</w:t>
      </w:r>
      <w:r>
        <w:rPr>
          <w:rFonts w:eastAsia="Times New Roman"/>
          <w:bCs/>
          <w:sz w:val="28"/>
          <w:szCs w:val="28"/>
        </w:rPr>
        <w:t xml:space="preserve"> повышенной готовностью к срочной адаптации, за счет высокого напряжения механизмов адаптации системы кровообращения, быстро расходуют функциональные резервов организма [3, 5].</w:t>
      </w:r>
      <w:r>
        <w:rPr>
          <w:rFonts w:eastAsia="Times New Roman"/>
          <w:bCs/>
          <w:sz w:val="28"/>
          <w:szCs w:val="28"/>
        </w:rPr>
      </w:r>
    </w:p>
    <w:p>
      <w:pPr>
        <w:ind w:firstLine="737"/>
        <w:spacing w:line="360" w:lineRule="auto"/>
        <w:jc w:val="both"/>
        <w:keepNext/>
        <w:keepLines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Одним из доступных в педагогической практике способов определения вегетативной дисфункции является внешний осмотр учеников  с последующим накоплением и анализом информации [5].</w:t>
      </w:r>
    </w:p>
    <w:p>
      <w:pPr>
        <w:ind w:firstLine="737"/>
        <w:spacing w:line="360" w:lineRule="auto"/>
        <w:jc w:val="both"/>
        <w:widowContro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ваготонии цвет лица переменчивый (дети легко краснеют и бледнеют), кисти рук цианотичные, влажные, холодные, бледнеют при надавливании пальцем. Часто отмечается мраморность кожных покровов (сосудистое</w:t>
      </w:r>
    </w:p>
    <w:p>
      <w:pPr>
        <w:spacing w:line="360" w:lineRule="auto"/>
        <w:jc w:val="both"/>
        <w:widowContro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ожерелье), значительная потливость. Кожа нередко сальная, склонна к угревой сыпи, дермографизм красный, возвышающийся.</w:t>
      </w:r>
    </w:p>
    <w:p>
      <w:pPr>
        <w:ind w:firstLine="680"/>
        <w:spacing w:line="360" w:lineRule="auto"/>
        <w:jc w:val="both"/>
        <w:widowContro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симпатикотонии отмечается сухость кожных покровов, незначительное потоотделение, белый или розовый дермографизм. Дети с симпатикотонией чаще худые или имеют нормальную массу, несмотря на повышенный</w:t>
      </w:r>
    </w:p>
    <w:p>
      <w:pPr>
        <w:spacing w:line="360" w:lineRule="auto"/>
        <w:jc w:val="both"/>
        <w:widowContro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аппетит.</w:t>
      </w:r>
    </w:p>
    <w:p>
      <w:pPr>
        <w:ind w:firstLine="737"/>
        <w:spacing w:line="360" w:lineRule="auto"/>
        <w:jc w:val="both"/>
        <w:widowContro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ваготонии дети склонны к полноте, неравномерному распределению избыточно развитой подкожной жировой клетчатки (преимущественно в области бедер, ягодиц, грудных желез). Наследственное ожирение в 90% случаев обнаруживается у одного или обоих родителей и объясняется сходством не только средовых факторов (питание, гиподинамия и др.), но и генетически детерминированными функционально-морфологическими особенностями гипоталамуса (высшего вегетативного центра). Поскольку половое созревание определяется системой гипоталамус - гипофиз - надпочечники - гонады, у девочек с вегетативной дисфункцией нередко отмечается преждевременное развитие вторичных половых признаков, нарушение менструального цикла, у мальчиков - задержка полового созревания.</w:t>
      </w:r>
    </w:p>
    <w:p>
      <w:pPr>
        <w:ind w:firstLine="709"/>
        <w:spacing w:line="360" w:lineRule="auto"/>
        <w:jc w:val="both"/>
      </w:pPr>
      <w:r>
        <w:rPr>
          <w:rFonts w:eastAsia="Times New Roman"/>
          <w:sz w:val="28"/>
          <w:szCs w:val="28"/>
        </w:rPr>
        <w:t xml:space="preserve">По данным из источников [7, 9] до 90% детей в России имеют выраженную вегетативную нестабильность. Данная особенность растущего организма </w:t>
      </w:r>
      <w:r>
        <w:rPr>
          <w:rFonts w:eastAsia="Times New Roman"/>
          <w:bCs/>
          <w:sz w:val="28"/>
          <w:szCs w:val="28"/>
        </w:rPr>
        <w:t>позволяет отнести их к группе условно</w:t>
      </w:r>
      <w:r>
        <w:rPr>
          <w:rFonts w:eastAsia="Times New Roman"/>
          <w:sz w:val="28"/>
          <w:szCs w:val="28"/>
        </w:rPr>
        <w:t xml:space="preserve"> физически и психически</w:t>
      </w:r>
      <w:r>
        <w:rPr>
          <w:rFonts w:eastAsia="Times New Roman"/>
          <w:bCs/>
          <w:sz w:val="28"/>
          <w:szCs w:val="28"/>
        </w:rPr>
        <w:t xml:space="preserve"> здоровых.</w:t>
      </w:r>
      <w:r/>
    </w:p>
    <w:p>
      <w:pPr>
        <w:ind w:firstLine="709"/>
        <w:spacing w:line="360" w:lineRule="auto"/>
        <w:jc w:val="both"/>
      </w:pPr>
      <w:r>
        <w:rPr>
          <w:rFonts w:eastAsia="Times New Roman"/>
          <w:bCs/>
          <w:sz w:val="28"/>
          <w:szCs w:val="28"/>
        </w:rPr>
        <w:t>У младших школьников, в основном, сформированы основные механизмы срочной адаптации системы кровообращения к локальным статическим нагрузкам. Однако, из - за вегетативной нестабильности, наблюдается ее неустойчивость и несовершенство. Установлено [3], что характер гемодинамических реакций зависит от исходного вегетативного статуса детей, а также имеет различия в половых группах. У мальчиков с симпатикотоническим вариантом исходного вегетативного статуса в отличие от нормотоников и ваготоников ведущим звеном в механизме срочной адаптации системы кровообращения к локальным статическим нагрузкам являются спастические реакции сосудов, при этом активность инотропного компонента снижена. Имеющее место повышение ударного и минутного объема крови, а также ударный и сердечный индексы, сопровождается увеличением периферического сопротивления сосудов. Особо выделяются мальчики - ваготоники 7 лет, у которых при усилении парасимпатических влияний на сердечный ритм развиваются реакции раннего утомления в функционировании системы кровообращения, свидетельствующие об астенизации детского организма. У девочек, в отличие от мальчиков, гемодинамические реакции более сбалансирования, от 7 к 9 годам увеличивается роль инотропного компонента в их структуре. У школьниц 8 и 9 лет наблюдается увеличение минутного объема крови, преимущественно, за счет ударного объема крови, стабилизация диастолического и систолического артериального давления, снижение общего и ударного периферического сопротивления сосудов, что свидетельствует о физиологической сбалансированности между периферическим сопротивлением сосудов и объемом циркулирующей крови [5].</w:t>
      </w:r>
      <w:r/>
    </w:p>
    <w:p>
      <w:pPr>
        <w:ind w:firstLine="709"/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Учебная нагрузка в период адаптации оказывает негативное влияние на детский организм. Статические нагрузки, направленные на поддержание рабочей позы школьника, преобладают в его повседневной жизни. При этом двигательная активность существенно снижена [1].</w:t>
      </w:r>
      <w:r>
        <w:rPr>
          <w:sz w:val="28"/>
          <w:szCs w:val="28"/>
        </w:rPr>
      </w:r>
    </w:p>
    <w:p>
      <w:pPr>
        <w:ind w:firstLine="709"/>
        <w:spacing w:line="360" w:lineRule="auto"/>
        <w:jc w:val="both"/>
      </w:pPr>
      <w:r>
        <w:rPr>
          <w:rFonts w:eastAsia="Times New Roman"/>
          <w:bCs/>
          <w:sz w:val="28"/>
          <w:szCs w:val="28"/>
        </w:rPr>
        <w:t>Снижение двигательной активности и статичские нагрузки способствуют развитию патологических изменений сердца и сосудов у детей. Последствия изменений в детском возрасте приводят к возникновению таких заболеваний у взрослых, как ишемическая болезнь сердца, гипертоническая болезнь, сосудистая патология головного мозга и атеросклероз [3].</w:t>
      </w:r>
      <w:r/>
    </w:p>
    <w:p>
      <w:pPr>
        <w:ind w:firstLine="709"/>
        <w:spacing w:line="360" w:lineRule="auto"/>
        <w:jc w:val="both"/>
      </w:pPr>
      <w:r>
        <w:rPr>
          <w:rFonts w:eastAsia="Times New Roman"/>
          <w:bCs/>
          <w:sz w:val="28"/>
          <w:szCs w:val="28"/>
        </w:rPr>
        <w:t>Таким образом, проведенный анализ показывает, что:</w:t>
      </w:r>
      <w:r/>
    </w:p>
    <w:p>
      <w:pPr>
        <w:numPr>
          <w:ilvl w:val="0"/>
          <w:numId w:val="4"/>
        </w:numPr>
        <w:ind w:left="0" w:firstLine="377"/>
        <w:spacing w:line="360" w:lineRule="auto"/>
        <w:jc w:val="both"/>
        <w:tabs defTabSz="708">
          <w:tab w:val="left" w:pos="1134" w:leader="none"/>
        </w:tabs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Существует специфическая, свойственная младшим школьникам, зависимость между параметрами функционированием системы кровообращения, исходным вегетативным тонусом, статическими и динамическими нагрузками. Очевидно, дозированное воздействие на элементы этой взаимосвязи могут снижать негативные последствия учебного процесса на здоровье школьника.</w:t>
      </w:r>
      <w:r>
        <w:rPr>
          <w:sz w:val="28"/>
          <w:szCs w:val="28"/>
        </w:rPr>
      </w:r>
    </w:p>
    <w:p>
      <w:pPr>
        <w:numPr>
          <w:ilvl w:val="0"/>
          <w:numId w:val="4"/>
        </w:numPr>
        <w:ind w:left="0" w:firstLine="377"/>
        <w:spacing w:line="360" w:lineRule="auto"/>
        <w:jc w:val="both"/>
        <w:tabs defTabSz="708">
          <w:tab w:val="left" w:pos="1134" w:leader="none"/>
        </w:tabs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Подавляющему большинству детей 7-10 лет свойственна неустойчивость вегетативной регуляции сердечного ритма, проявляющаяся в преобладании симпатических или парасимпатических влияний, сопровождающаяся существенными сдвигами в функциональном состоянии системы кровообращения. Наиболее выражены они у мальчиков симпатикотоническим статусом вегетативного тонуса. Такие мальчики, как правило, более склонны к развития вегетативных нарушений в школьном возрасте.</w:t>
      </w:r>
      <w:r>
        <w:rPr>
          <w:sz w:val="28"/>
          <w:szCs w:val="28"/>
        </w:rPr>
      </w:r>
    </w:p>
    <w:p>
      <w:pPr>
        <w:numPr>
          <w:ilvl w:val="0"/>
          <w:numId w:val="4"/>
        </w:numPr>
        <w:ind w:left="0" w:firstLine="377"/>
        <w:spacing w:line="360" w:lineRule="auto"/>
        <w:jc w:val="both"/>
        <w:tabs defTabSz="708">
          <w:tab w:val="left" w:pos="1134" w:leader="none"/>
        </w:tabs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При организации учебного - воспитательного процесса необходима дифференциация младших школьников по преобладающему вегетативному статусу с учетом возрастно-половых и индивидуальных особенностей регуляции функций системы кровообращения детей. Разделение детей по группам здоровья возможно с использованием методов проб и нагрузочных тестов.</w:t>
      </w:r>
      <w:r>
        <w:rPr>
          <w:sz w:val="28"/>
          <w:szCs w:val="28"/>
        </w:rPr>
      </w:r>
    </w:p>
    <w:p>
      <w:pPr>
        <w:numPr>
          <w:ilvl w:val="0"/>
          <w:numId w:val="4"/>
        </w:numPr>
        <w:ind w:left="0" w:firstLine="377"/>
        <w:spacing w:line="360" w:lineRule="auto"/>
        <w:jc w:val="both"/>
        <w:tabs defTabSz="708">
          <w:tab w:val="left" w:pos="1134" w:leader="none"/>
        </w:tabs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Для группы младших школьников с выраженной склонностью к нарушениям в функционировании системы кровообращения необходима нормировка физических и умственных нагрузок. Детям </w:t>
      </w:r>
      <w:r>
        <w:rPr>
          <w:rFonts w:eastAsia="Times New Roman"/>
          <w:sz w:val="28"/>
          <w:szCs w:val="28"/>
        </w:rPr>
        <w:t>симпатикотоникам</w:t>
      </w:r>
      <w:r>
        <w:rPr>
          <w:rFonts w:eastAsia="Times New Roman"/>
          <w:bCs/>
          <w:sz w:val="28"/>
          <w:szCs w:val="28"/>
        </w:rPr>
        <w:t xml:space="preserve"> в качестве физических нагрузок предпочтительны статические физические упражнения. Такие упражнения направлены на развитии двигательных качеств, повышают силу и выносливость мышц.</w:t>
      </w:r>
      <w:r>
        <w:rPr>
          <w:sz w:val="28"/>
          <w:szCs w:val="28"/>
        </w:rPr>
      </w:r>
    </w:p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использованных источников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ind w:left="0" w:firstLine="709"/>
        <w:spacing w:line="360" w:lineRule="auto"/>
        <w:jc w:val="both"/>
        <w:keepNext/>
        <w:keepLines/>
        <w:widowControl w:val="0"/>
        <w:tabs defTabSz="708">
          <w:tab w:val="left" w:pos="1134" w:leader="none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Алферова Т.В. Возрастные особенности адаптации кровообращения к локальной мышечной деятельности / Алферова Т.В. // Физиология человека. 1983. - Т.9. - №3. - С.428-434.</w:t>
      </w:r>
    </w:p>
    <w:p>
      <w:pPr>
        <w:numPr>
          <w:ilvl w:val="0"/>
          <w:numId w:val="1"/>
        </w:numPr>
        <w:ind w:left="0" w:firstLine="709"/>
        <w:spacing w:line="360" w:lineRule="auto"/>
        <w:jc w:val="both"/>
        <w:tabs defTabSz="708">
          <w:tab w:val="left" w:pos="1134" w:leader="none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Безруких М.М. Возрастная физиология: Физиология развития ребенка. Учебное пособие для вузов. / М.М. Безруких, М.М. Сонькин, В.Д. Фарбер. - М. : Академия, 2002. - 413 с.</w:t>
      </w:r>
    </w:p>
    <w:p>
      <w:pPr>
        <w:numPr>
          <w:ilvl w:val="0"/>
          <w:numId w:val="1"/>
        </w:numPr>
        <w:ind w:left="0" w:firstLine="709"/>
        <w:spacing w:line="360" w:lineRule="auto"/>
        <w:jc w:val="both"/>
        <w:keepNext/>
        <w:keepLines/>
        <w:widowControl w:val="0"/>
        <w:tabs defTabSz="708">
          <w:tab w:val="left" w:pos="1134" w:leader="none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Вейн A.M. Вегетативные расстройства / Вейн A.M. // М, Наука, 2003 -480с.</w:t>
      </w:r>
    </w:p>
    <w:p>
      <w:pPr>
        <w:numPr>
          <w:ilvl w:val="0"/>
          <w:numId w:val="1"/>
        </w:numPr>
        <w:ind w:left="0" w:firstLine="709"/>
        <w:spacing w:line="360" w:lineRule="auto"/>
        <w:jc w:val="both"/>
        <w:tabs defTabSz="708">
          <w:tab w:val="left" w:pos="1134" w:leader="none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Егорова М.А. Функциональные пробы. Учебное пособие по курсу «Основам врачебного контроля»/ ФГБОУ СПО «БГУОР». - Брянск, 2013. - 48 с.</w:t>
      </w:r>
    </w:p>
    <w:p>
      <w:pPr>
        <w:numPr>
          <w:ilvl w:val="0"/>
          <w:numId w:val="1"/>
        </w:numPr>
        <w:ind w:left="0" w:firstLine="709"/>
        <w:spacing w:line="360" w:lineRule="auto"/>
        <w:jc w:val="both"/>
        <w:keepNext/>
        <w:keepLines/>
        <w:widowControl w:val="0"/>
        <w:tabs defTabSz="708">
          <w:tab w:val="left" w:pos="1134" w:leader="none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Калюжная P.A. Школьная медицина/ Калюжная P.A. // М.: Медицина Руководство для врачей-педиаторов- 1975.-214с.</w:t>
      </w:r>
    </w:p>
    <w:p>
      <w:pPr>
        <w:numPr>
          <w:ilvl w:val="0"/>
          <w:numId w:val="1"/>
        </w:numPr>
        <w:ind w:left="0" w:firstLine="709"/>
        <w:spacing w:line="360" w:lineRule="auto"/>
        <w:jc w:val="both"/>
        <w:tabs defTabSz="708">
          <w:tab w:val="left" w:pos="1134" w:leader="none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Ланда Б.Х. Методика комплексной оценки физического развития и физической подготовленности: учеб. пособие / Б.Х. Ланда. - М.: Советский спорт, 2011. - 348 с.</w:t>
      </w:r>
    </w:p>
    <w:p>
      <w:pPr>
        <w:numPr>
          <w:ilvl w:val="0"/>
          <w:numId w:val="1"/>
        </w:numPr>
        <w:ind w:left="0" w:firstLine="709"/>
        <w:spacing w:line="360" w:lineRule="auto"/>
        <w:jc w:val="both"/>
        <w:tabs defTabSz="708">
          <w:tab w:val="left" w:pos="1134" w:leader="none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Любека С.В., Юречко О.В. Исследование физического состояния школьников различных групп здоровья. - Журнал Ученые записки университета имени П.Ф. Лесгафта, 5 (75) 2011, 02.06.2011- с.80-84.</w:t>
      </w:r>
    </w:p>
    <w:p>
      <w:pPr>
        <w:numPr>
          <w:ilvl w:val="0"/>
          <w:numId w:val="1"/>
        </w:numPr>
        <w:ind w:left="0" w:firstLine="709"/>
        <w:spacing w:line="360" w:lineRule="auto"/>
        <w:jc w:val="both"/>
        <w:tabs defTabSz="708">
          <w:tab w:val="left" w:pos="1134" w:leader="none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Мониторинг и коррекция физического здоровья школьников : метод. пособие / С.Д. Поляков, С.В. Хрущев, И.Т. Корнеева [и др.]. - М. : Айрис-пресс, 2006. - 96 с.</w:t>
      </w:r>
    </w:p>
    <w:p>
      <w:pPr>
        <w:numPr>
          <w:ilvl w:val="0"/>
          <w:numId w:val="1"/>
        </w:numPr>
        <w:ind w:left="0" w:firstLine="709"/>
        <w:spacing w:line="360" w:lineRule="auto"/>
        <w:jc w:val="both"/>
        <w:tabs defTabSz="708">
          <w:tab w:val="left" w:pos="1134" w:leader="none"/>
        </w:tabs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Солодков А.С., Сологуб Е.Б. Физиология человека. Общая. Спортивная. Возрастная: Учебник. Изд. 2-е, испр. и доп. - М.: Олимпия Пресс, 2005. -528 с.</w:t>
      </w:r>
      <w:r>
        <w:rPr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567" w:bottom="1134" w:header="0" w:footer="0"/>
      <w:paperSrc w:first="0" w:other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Times New Roman">
    <w:charset w:val="00"/>
    <w:family w:val="roman"/>
    <w:pitch w:val="default"/>
  </w:font>
  <w:font w:name="Symbol">
    <w:charset w:val="02"/>
    <w:family w:val="roman"/>
    <w:pitch w:val="default"/>
  </w:font>
  <w:font w:name="Arial">
    <w:charset w:val="00"/>
    <w:family w:val="swiss"/>
    <w:pitch w:val="default"/>
  </w:font>
  <w:font w:name="Liberation Serif">
    <w:charset w:val="01"/>
    <w:family w:val="roman"/>
    <w:pitch w:val="default"/>
  </w:font>
  <w:font w:name="Liberation Sans">
    <w:charset w:val="01"/>
    <w:family w:val="roman"/>
    <w:pitch w:val="default"/>
  </w:font>
  <w:font w:name="SimSun">
    <w:charset w:val="00"/>
    <w:family w:val="auto"/>
    <w:pitch w:val="default"/>
  </w:font>
  <w:font w:name="Noto Sans CJK SC">
    <w:charset w:val="00"/>
    <w:family w:val="roman"/>
    <w:pitch w:val="default"/>
  </w:font>
  <w:font w:name="Lohit Devanagari">
    <w:charset w:val="00"/>
    <w:family w:val="roman"/>
    <w:pitch w:val="default"/>
  </w:font>
  <w:font w:name="Wingbats">
    <w:charset w:val="02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0" w:hanging="0"/>
      </w:pPr>
    </w:lvl>
    <w:lvl w:ilvl="1">
      <w:start w:val="1"/>
      <w:numFmt w:val="decimal"/>
      <w:suff w:val="tab"/>
      <w:lvlText w:val="%2."/>
      <w:lvlJc w:val="left"/>
      <w:pPr>
        <w:ind w:left="720" w:hanging="0"/>
      </w:pPr>
    </w:lvl>
    <w:lvl w:ilvl="2">
      <w:start w:val="1"/>
      <w:numFmt w:val="decimal"/>
      <w:suff w:val="tab"/>
      <w:lvlText w:val="%3."/>
      <w:lvlJc w:val="left"/>
      <w:pPr>
        <w:ind w:left="1080" w:hanging="0"/>
      </w:pPr>
    </w:lvl>
    <w:lvl w:ilvl="3">
      <w:start w:val="1"/>
      <w:numFmt w:val="decimal"/>
      <w:suff w:val="tab"/>
      <w:lvlText w:val="%4."/>
      <w:lvlJc w:val="left"/>
      <w:pPr>
        <w:ind w:left="1440" w:hanging="0"/>
      </w:pPr>
    </w:lvl>
    <w:lvl w:ilvl="4">
      <w:start w:val="1"/>
      <w:numFmt w:val="decimal"/>
      <w:suff w:val="tab"/>
      <w:lvlText w:val="%5."/>
      <w:lvlJc w:val="left"/>
      <w:pPr>
        <w:ind w:left="1800" w:hanging="0"/>
      </w:pPr>
    </w:lvl>
    <w:lvl w:ilvl="5">
      <w:start w:val="1"/>
      <w:numFmt w:val="decimal"/>
      <w:suff w:val="tab"/>
      <w:lvlText w:val="%6."/>
      <w:lvlJc w:val="left"/>
      <w:pPr>
        <w:ind w:left="2160" w:hanging="0"/>
      </w:pPr>
    </w:lvl>
    <w:lvl w:ilvl="6">
      <w:start w:val="1"/>
      <w:numFmt w:val="decimal"/>
      <w:suff w:val="tab"/>
      <w:lvlText w:val="%7."/>
      <w:lvlJc w:val="left"/>
      <w:pPr>
        <w:ind w:left="2520" w:hanging="0"/>
      </w:pPr>
    </w:lvl>
    <w:lvl w:ilvl="7">
      <w:start w:val="1"/>
      <w:numFmt w:val="decimal"/>
      <w:suff w:val="tab"/>
      <w:lvlText w:val="%8."/>
      <w:lvlJc w:val="left"/>
      <w:pPr>
        <w:ind w:left="2880" w:hanging="0"/>
      </w:pPr>
    </w:lvl>
    <w:lvl w:ilvl="8">
      <w:start w:val="1"/>
      <w:numFmt w:val="decimal"/>
      <w:suff w:val="tab"/>
      <w:lvlText w:val="%9."/>
      <w:lvlJc w:val="left"/>
      <w:pPr>
        <w:ind w:left="3240" w:hanging="0"/>
      </w:pPr>
    </w:lvl>
  </w:abstractNum>
  <w:abstractNum w:abstractNumId="2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0" w:hanging="0"/>
      </w:pPr>
    </w:lvl>
    <w:lvl w:ilvl="1">
      <w:start w:val="1"/>
      <w:numFmt w:val="decimal"/>
      <w:suff w:val="tab"/>
      <w:lvlText w:val="%2."/>
      <w:lvlJc w:val="left"/>
      <w:pPr>
        <w:ind w:left="720" w:hanging="0"/>
      </w:pPr>
    </w:lvl>
    <w:lvl w:ilvl="2">
      <w:start w:val="1"/>
      <w:numFmt w:val="decimal"/>
      <w:suff w:val="tab"/>
      <w:lvlText w:val="%3."/>
      <w:lvlJc w:val="left"/>
      <w:pPr>
        <w:ind w:left="1080" w:hanging="0"/>
      </w:pPr>
    </w:lvl>
    <w:lvl w:ilvl="3">
      <w:start w:val="1"/>
      <w:numFmt w:val="decimal"/>
      <w:suff w:val="tab"/>
      <w:lvlText w:val="%4."/>
      <w:lvlJc w:val="left"/>
      <w:pPr>
        <w:ind w:left="1440" w:hanging="0"/>
      </w:pPr>
    </w:lvl>
    <w:lvl w:ilvl="4">
      <w:start w:val="1"/>
      <w:numFmt w:val="decimal"/>
      <w:suff w:val="tab"/>
      <w:lvlText w:val="%5."/>
      <w:lvlJc w:val="left"/>
      <w:pPr>
        <w:ind w:left="1800" w:hanging="0"/>
      </w:pPr>
    </w:lvl>
    <w:lvl w:ilvl="5">
      <w:start w:val="1"/>
      <w:numFmt w:val="decimal"/>
      <w:suff w:val="tab"/>
      <w:lvlText w:val="%6."/>
      <w:lvlJc w:val="left"/>
      <w:pPr>
        <w:ind w:left="2160" w:hanging="0"/>
      </w:pPr>
    </w:lvl>
    <w:lvl w:ilvl="6">
      <w:start w:val="1"/>
      <w:numFmt w:val="decimal"/>
      <w:suff w:val="tab"/>
      <w:lvlText w:val="%7."/>
      <w:lvlJc w:val="left"/>
      <w:pPr>
        <w:ind w:left="2520" w:hanging="0"/>
      </w:pPr>
    </w:lvl>
    <w:lvl w:ilvl="7">
      <w:start w:val="1"/>
      <w:numFmt w:val="decimal"/>
      <w:suff w:val="tab"/>
      <w:lvlText w:val="%8."/>
      <w:lvlJc w:val="left"/>
      <w:pPr>
        <w:ind w:left="2880" w:hanging="0"/>
      </w:pPr>
    </w:lvl>
    <w:lvl w:ilvl="8">
      <w:start w:val="1"/>
      <w:numFmt w:val="decimal"/>
      <w:suff w:val="tab"/>
      <w:lvlText w:val="%9."/>
      <w:lvlJc w:val="left"/>
      <w:pPr>
        <w:ind w:left="3240" w:hanging="0"/>
      </w:pPr>
    </w:lvl>
  </w:abstractNum>
  <w:abstractNum w:abstractNumId="3">
    <w:multiLevelType w:val="hybridMultilevel"/>
    <w:name w:val="Нумерованный список 3"/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multiLevelType w:val="singleLevel"/>
    <w:name w:val="Bullet 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6"/>
      <w:tmLastPosIdx w:val="263"/>
    </w:tmLastPosCaret>
    <w:tmLastPosAnchor>
      <w:tmLastPosPgfIdx w:val="0"/>
      <w:tmLastPosIdx w:val="0"/>
    </w:tmLastPosAnchor>
    <w:tmLastPosTblRect w:left="0" w:top="0" w:right="0" w:bottom="0"/>
  </w:tmLastPos>
  <w:tmAppRevision w:date="1607941146" w:val="980" w:fileVer="342" w:fileVer64="64" w:fileVerOS="3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</w:style>
  <w:style w:type="paragraph" w:styleId="para2">
    <w:name w:val="heading 2"/>
    <w:qFormat/>
    <w:basedOn w:val="para1"/>
    <w:pPr>
      <w:outlineLvl w:val="1"/>
    </w:pPr>
    <w:rPr>
      <w:sz w:val="32"/>
      <w:szCs w:val="32"/>
    </w:rPr>
  </w:style>
  <w:style w:type="paragraph" w:styleId="para3">
    <w:name w:val="heading 3"/>
    <w:qFormat/>
    <w:basedOn w:val="para2"/>
    <w:pPr>
      <w:outlineLvl w:val="2"/>
    </w:pPr>
    <w:rPr>
      <w:sz w:val="28"/>
      <w:szCs w:val="28"/>
    </w:rPr>
  </w:style>
  <w:style w:type="paragraph" w:styleId="para4" w:customStyle="1">
    <w:name w:val="Заголовок"/>
    <w:qFormat/>
    <w:basedOn w:val="para0"/>
    <w:next w:val="para5"/>
    <w:pPr>
      <w:spacing w:before="240" w:after="120"/>
      <w:keepNext/>
    </w:pPr>
    <w:rPr>
      <w:rFonts w:ascii="Liberation Sans" w:hAnsi="Liberation Sans" w:eastAsia="Noto Sans CJK SC" w:cs="Lohit Devanagari"/>
      <w:sz w:val="28"/>
      <w:szCs w:val="28"/>
    </w:rPr>
  </w:style>
  <w:style w:type="paragraph" w:styleId="para5">
    <w:name w:val="Body Text"/>
    <w:qFormat/>
    <w:basedOn w:val="para0"/>
    <w:pPr>
      <w:spacing w:after="140" w:line="276" w:lineRule="auto"/>
    </w:pPr>
  </w:style>
  <w:style w:type="paragraph" w:styleId="para6">
    <w:name w:val="List"/>
    <w:qFormat/>
    <w:basedOn w:val="para5"/>
    <w:rPr>
      <w:rFonts w:cs="Lohit Devanagari"/>
    </w:rPr>
  </w:style>
  <w:style w:type="paragraph" w:styleId="para7">
    <w:name w:val="caption"/>
    <w:qFormat/>
    <w:basedOn w:val="para0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para8">
    <w:name w:val="Index Heading"/>
    <w:qFormat/>
    <w:basedOn w:val="para0"/>
    <w:pPr>
      <w:suppressLineNumbers/>
    </w:pPr>
    <w:rPr>
      <w:rFonts w:cs="Lohit Devanagari"/>
    </w:rPr>
  </w:style>
  <w:style w:type="paragraph" w:styleId="para9" w:customStyle="1">
    <w:name w:val="caption"/>
    <w:qFormat/>
    <w:basedOn w:val="para0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para10" w:customStyle="1">
    <w:name w:val="Index Heading"/>
    <w:qFormat/>
    <w:basedOn w:val="para0"/>
    <w:pPr>
      <w:suppressLineNumbers/>
    </w:pPr>
    <w:rPr>
      <w:rFonts w:cs="Lohit Devanagari"/>
    </w:rPr>
  </w:style>
  <w:style w:type="character" w:styleId="char0" w:default="1">
    <w:name w:val="Default Paragraph Font"/>
  </w:style>
  <w:style w:type="character" w:styleId="char1" w:customStyle="1">
    <w:name w:val="Символ концевой сноски"/>
  </w:style>
  <w:style w:type="character" w:styleId="char2" w:customStyle="1">
    <w:name w:val="Символ нумерации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</w:style>
  <w:style w:type="paragraph" w:styleId="para2">
    <w:name w:val="heading 2"/>
    <w:qFormat/>
    <w:basedOn w:val="para1"/>
    <w:pPr>
      <w:outlineLvl w:val="1"/>
    </w:pPr>
    <w:rPr>
      <w:sz w:val="32"/>
      <w:szCs w:val="32"/>
    </w:rPr>
  </w:style>
  <w:style w:type="paragraph" w:styleId="para3">
    <w:name w:val="heading 3"/>
    <w:qFormat/>
    <w:basedOn w:val="para2"/>
    <w:pPr>
      <w:outlineLvl w:val="2"/>
    </w:pPr>
    <w:rPr>
      <w:sz w:val="28"/>
      <w:szCs w:val="28"/>
    </w:rPr>
  </w:style>
  <w:style w:type="paragraph" w:styleId="para4" w:customStyle="1">
    <w:name w:val="Заголовок"/>
    <w:qFormat/>
    <w:basedOn w:val="para0"/>
    <w:next w:val="para5"/>
    <w:pPr>
      <w:spacing w:before="240" w:after="120"/>
      <w:keepNext/>
    </w:pPr>
    <w:rPr>
      <w:rFonts w:ascii="Liberation Sans" w:hAnsi="Liberation Sans" w:eastAsia="Noto Sans CJK SC" w:cs="Lohit Devanagari"/>
      <w:sz w:val="28"/>
      <w:szCs w:val="28"/>
    </w:rPr>
  </w:style>
  <w:style w:type="paragraph" w:styleId="para5">
    <w:name w:val="Body Text"/>
    <w:qFormat/>
    <w:basedOn w:val="para0"/>
    <w:pPr>
      <w:spacing w:after="140" w:line="276" w:lineRule="auto"/>
    </w:pPr>
  </w:style>
  <w:style w:type="paragraph" w:styleId="para6">
    <w:name w:val="List"/>
    <w:qFormat/>
    <w:basedOn w:val="para5"/>
    <w:rPr>
      <w:rFonts w:cs="Lohit Devanagari"/>
    </w:rPr>
  </w:style>
  <w:style w:type="paragraph" w:styleId="para7">
    <w:name w:val="caption"/>
    <w:qFormat/>
    <w:basedOn w:val="para0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para8">
    <w:name w:val="Index Heading"/>
    <w:qFormat/>
    <w:basedOn w:val="para0"/>
    <w:pPr>
      <w:suppressLineNumbers/>
    </w:pPr>
    <w:rPr>
      <w:rFonts w:cs="Lohit Devanagari"/>
    </w:rPr>
  </w:style>
  <w:style w:type="paragraph" w:styleId="para9" w:customStyle="1">
    <w:name w:val="caption"/>
    <w:qFormat/>
    <w:basedOn w:val="para0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para10" w:customStyle="1">
    <w:name w:val="Index Heading"/>
    <w:qFormat/>
    <w:basedOn w:val="para0"/>
    <w:pPr>
      <w:suppressLineNumbers/>
    </w:pPr>
    <w:rPr>
      <w:rFonts w:cs="Lohit Devanagari"/>
    </w:rPr>
  </w:style>
  <w:style w:type="character" w:styleId="char0" w:default="1">
    <w:name w:val="Default Paragraph Font"/>
  </w:style>
  <w:style w:type="character" w:styleId="char1" w:customStyle="1">
    <w:name w:val="Символ концевой сноски"/>
  </w:style>
  <w:style w:type="character" w:styleId="char2" w:customStyle="1">
    <w:name w:val="Символ нумерации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12</cp:revision>
  <dcterms:created xsi:type="dcterms:W3CDTF">2020-12-01T19:21:29Z</dcterms:created>
  <dcterms:modified xsi:type="dcterms:W3CDTF">2020-12-14T10:19:06Z</dcterms:modified>
</cp:coreProperties>
</file>