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Способы организации активного обучения в рамках ФГОС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путают термины "методы" и "приемы", употребляя их как синонимы. Между тем,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способ совместной деятельности учителя и ученика.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Прием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лишь составная часть метода, разовое действие, шаг реализации метода. 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формы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Форма урока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Типы уроков по ФГОС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усвоения новых знаний".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комплексного применения ЗУН (урок-закрепление)".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актуализации знания и умений (урок-повторение).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обобщения и систематизации".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контрольного учета и оценки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коррекции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форм уроков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соревнований и игр: КВН, викторина, турнир, дуэль.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имитирующие деятельность: деловые игры, урок-следствие, ученый совет, суд.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мероприятий: экскурсии, путешествия, прогулки, ролевые игры. 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Уроки-фантазии: сказка, спектакль, сюрприз.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Интегрированные уроки.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методов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методике приводится следующая классификация методов обучения: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Пассивные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когда учитель доминирует, а учащиеся — пассивны. Такие методы в рамках ФГОС признаны наименее эффективными, хотя 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используются на отдельных уроках обучающего типа. Самый распространенный прием пассивных методов — лекция.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Активные (АМО).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Интерактивные (ИМО)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наиболее эффективные методы, при которых ученики взаимодействуют не только с учителем, но и друг с другом. Вектор: учитель = ученик = ученик.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Кейс-метод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проектов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Проблемный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A631DD" w:rsidRPr="005F407A" w:rsidRDefault="005F407A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A631DD" w:rsidRPr="005F407A">
          <w:rPr>
            <w:rFonts w:ascii="Arial" w:eastAsia="Times New Roman" w:hAnsi="Arial" w:cs="Arial"/>
            <w:b/>
            <w:bCs/>
            <w:sz w:val="27"/>
            <w:lang w:eastAsia="ru-RU"/>
          </w:rPr>
          <w:t>Метод развития критического мышления через чтение и письмо</w:t>
        </w:r>
      </w:hyperlink>
      <w:r w:rsidR="00A631DD" w:rsidRPr="005F407A">
        <w:rPr>
          <w:rFonts w:ascii="Arial" w:eastAsia="Times New Roman" w:hAnsi="Arial" w:cs="Arial"/>
          <w:sz w:val="27"/>
          <w:szCs w:val="27"/>
          <w:lang w:eastAsia="ru-RU"/>
        </w:rPr>
        <w:t xml:space="preserve"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</w:t>
      </w:r>
      <w:bookmarkStart w:id="0" w:name="_GoBack"/>
      <w:bookmarkEnd w:id="0"/>
      <w:r w:rsidR="00A631DD" w:rsidRPr="005F407A">
        <w:rPr>
          <w:rFonts w:ascii="Arial" w:eastAsia="Times New Roman" w:hAnsi="Arial" w:cs="Arial"/>
          <w:sz w:val="27"/>
          <w:szCs w:val="27"/>
          <w:lang w:eastAsia="ru-RU"/>
        </w:rPr>
        <w:t>вызова, </w:t>
      </w:r>
      <w:hyperlink r:id="rId6" w:history="1">
        <w:r w:rsidR="00A631DD" w:rsidRPr="005F407A">
          <w:rPr>
            <w:rFonts w:ascii="Arial" w:eastAsia="Times New Roman" w:hAnsi="Arial" w:cs="Arial"/>
            <w:sz w:val="27"/>
            <w:lang w:eastAsia="ru-RU"/>
          </w:rPr>
          <w:t>осмысления</w:t>
        </w:r>
      </w:hyperlink>
      <w:r w:rsidR="00A631DD" w:rsidRPr="005F407A">
        <w:rPr>
          <w:rFonts w:ascii="Arial" w:eastAsia="Times New Roman" w:hAnsi="Arial" w:cs="Arial"/>
          <w:sz w:val="27"/>
          <w:szCs w:val="27"/>
          <w:lang w:eastAsia="ru-RU"/>
        </w:rPr>
        <w:t> и </w:t>
      </w:r>
      <w:hyperlink r:id="rId7" w:history="1">
        <w:r w:rsidR="00A631DD" w:rsidRPr="005F407A">
          <w:rPr>
            <w:rFonts w:ascii="Arial" w:eastAsia="Times New Roman" w:hAnsi="Arial" w:cs="Arial"/>
            <w:sz w:val="27"/>
            <w:lang w:eastAsia="ru-RU"/>
          </w:rPr>
          <w:t>размышления</w:t>
        </w:r>
      </w:hyperlink>
      <w:r w:rsidR="00A631DD" w:rsidRPr="005F407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07A">
        <w:rPr>
          <w:rFonts w:ascii="Arial" w:eastAsia="Times New Roman" w:hAnsi="Arial" w:cs="Arial"/>
          <w:b/>
          <w:bCs/>
          <w:sz w:val="27"/>
          <w:lang w:eastAsia="ru-RU"/>
        </w:rPr>
        <w:t>Эвристический метод</w:t>
      </w:r>
      <w:r w:rsidRPr="005F407A">
        <w:rPr>
          <w:rFonts w:ascii="Arial" w:eastAsia="Times New Roman" w:hAnsi="Arial" w:cs="Arial"/>
          <w:sz w:val="27"/>
          <w:szCs w:val="27"/>
          <w:lang w:eastAsia="ru-RU"/>
        </w:rPr>
        <w:t> — объединяет разнообразные игровые приемы в форме конкурсов, деловых и ролевых игр, соревнований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исследований.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Исследовательский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модульного обучения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метода зависит от многих условий: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 обучения;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уровня подготовленности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возраста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времени, отведенного на изучение материала;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оснащенности школы;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теоретической и практической подготовленности учителя.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E8580F" w:rsidRDefault="00E8580F"/>
    <w:sectPr w:rsidR="00E8580F" w:rsidSect="00E8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EBB"/>
    <w:multiLevelType w:val="multilevel"/>
    <w:tmpl w:val="25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C25B5"/>
    <w:multiLevelType w:val="multilevel"/>
    <w:tmpl w:val="A5E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6D0E"/>
    <w:multiLevelType w:val="multilevel"/>
    <w:tmpl w:val="0A7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272CA"/>
    <w:multiLevelType w:val="multilevel"/>
    <w:tmpl w:val="06A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D97707"/>
    <w:multiLevelType w:val="multilevel"/>
    <w:tmpl w:val="1A7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1DD"/>
    <w:rsid w:val="00491306"/>
    <w:rsid w:val="005F407A"/>
    <w:rsid w:val="00A631DD"/>
    <w:rsid w:val="00E8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89B20-6113-42A8-BDC1-973ED5DD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0F"/>
  </w:style>
  <w:style w:type="paragraph" w:styleId="2">
    <w:name w:val="heading 2"/>
    <w:basedOn w:val="a"/>
    <w:link w:val="20"/>
    <w:uiPriority w:val="9"/>
    <w:qFormat/>
    <w:rsid w:val="00A631DD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31D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DD"/>
    <w:rPr>
      <w:b/>
      <w:bCs/>
    </w:rPr>
  </w:style>
  <w:style w:type="character" w:styleId="a5">
    <w:name w:val="Hyperlink"/>
    <w:basedOn w:val="a0"/>
    <w:uiPriority w:val="99"/>
    <w:semiHidden/>
    <w:unhideWhenUsed/>
    <w:rsid w:val="00A6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su%2Fmetodika%2Frefleksiya%2F5665_refleksiya_kak_etap_uroka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metodika%2F6010_stadia_osmyslenia_kak_etap_uroka" TargetMode="External"/><Relationship Id="rId5" Type="http://schemas.openxmlformats.org/officeDocument/2006/relationships/hyperlink" Target="https://infourok.ru/go.html?href=http%3A%2F%2Fpedsovet.su%2Fpubl%2F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Iskander</dc:creator>
  <cp:lastModifiedBy>Наталья Анпилогова</cp:lastModifiedBy>
  <cp:revision>3</cp:revision>
  <dcterms:created xsi:type="dcterms:W3CDTF">2019-11-20T10:47:00Z</dcterms:created>
  <dcterms:modified xsi:type="dcterms:W3CDTF">2020-05-27T05:32:00Z</dcterms:modified>
</cp:coreProperties>
</file>