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FF" w:rsidRPr="007119FF" w:rsidRDefault="007119FF" w:rsidP="007119FF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</w:rPr>
      </w:pPr>
      <w:r w:rsidRPr="007119FF">
        <w:rPr>
          <w:rFonts w:ascii="Helvetica" w:eastAsia="Times New Roman" w:hAnsi="Helvetica" w:cs="Helvetica"/>
          <w:color w:val="199043"/>
          <w:kern w:val="36"/>
          <w:sz w:val="36"/>
          <w:szCs w:val="36"/>
        </w:rPr>
        <w:t>Проблема читательской грамотности подростков: пути решения</w:t>
      </w:r>
      <w:r w:rsidRPr="007119F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В растущем потоке информационного поля на сегодняшний день в процессе обучения возникает весьма острая проблема – проблема развития читательской грамотности школьников – подростков [1]. В свете требований образовательных стандартов, программы Президента РФ, в рамках реализации проекта «Методологии», по оценке качества образования (PISA, PIRLS), которые пройдут до 2024 г. по плану организаторов в каждой школе возникает необходимость по-новому осмыслить взгляд на чтение.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В PISA - 2018 основным направлением стала читательская грамотность, по результатам исследований Россия оказалась в первой тридцатке стран [3]. «Читательская грамотность −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</w:t>
      </w:r>
      <w:proofErr w:type="gram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»[</w:t>
      </w:r>
      <w:proofErr w:type="gram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Там же]. Отметим тот факт, что акцент делается на понимании </w:t>
      </w:r>
      <w:proofErr w:type="gram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прочитанного</w:t>
      </w:r>
      <w:proofErr w:type="gram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и последующем осмыслении и оценивании информации.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По мнению канд.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филол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. наук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Иноземцевой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Н.В., «…уровень читательской грамотности учащихся-подростков не растет, а только снижается» [1]. К сожалению, это мировая тенденция: «Меньше 20% современных подростков читают книги, газеты или журналы каждый день, но при этом больше 80% из них постоянно сидят в социальных сетях» [7].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Проанализировав читательские предпочтения обучающихся 7, 8А, Б классов в МБОУ «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Опытненская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СОШ» на начало 2019-2020гг., можно прийти к выводу о том, что большая часть ребят действительно равнодушна к процессу чтения: из 54 человек из рекомендованного списка литературы читали 9 человек (17%), читали не из списка, что нравилось «по душе» – 7 человек (13%), большая часть ребят ограничивалась лишь кратким пересказом в</w:t>
      </w:r>
      <w:proofErr w:type="gram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</w:t>
      </w:r>
      <w:proofErr w:type="gram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процессе</w:t>
      </w:r>
      <w:proofErr w:type="gram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обучения, просмотром фильмов по данному произведению либо чтению фрагментов текста на уроке. Возникает закономерный вопрос, как развивать уровень читательской грамотности </w:t>
      </w:r>
      <w:proofErr w:type="gram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обучающихся</w:t>
      </w:r>
      <w:proofErr w:type="gram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?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Во-первых, на наш взгляд, следует активнее организовывать формирование единой читательского поля на базе учебной организации, подключив школьную библиотеку, участвовать в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онлайн-акциях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Всеобщих диктантов, проектной деятельности. Следует бороться также и с низким уровнем семейного чтения, привлекая родителей к различным внеклассным, внешкольным мероприятиям.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Во-вторых, используя разнообразные цифровые сервисы в урочной и внеурочной деятельности: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LearningApps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QR-код,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веб-квесты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Learnis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Etreniki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платформу CORE, графический редактор </w:t>
      </w:r>
      <w:proofErr w:type="spellStart"/>
      <w:proofErr w:type="gram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С</w:t>
      </w:r>
      <w:proofErr w:type="gram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anva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программу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VideoPad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карты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Storymap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MakeBeliefsComix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можно разнообразить и сделать увлекательнее рутинный процесс работы с текстом, к тому же повысить уровень компьютерной грамотности обучающихся, заговорить с новым поколением на их языке. Создать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инфографик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диаграмму, листовку, презентацию,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веб-квест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лингвистический тренажер, викторину,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буктрейлер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кроссенс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визитную карточку писателя/героя, виртуальную экскурсию, комиксы, провести литературные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баттлы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, прочитать произведения современных писателей и обсудить их в виде создания экспонатов литературного музея книги…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В-третьих, в урочной деятельности педагогу также необходимо организовывать процесс чтения с применением методов в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предтекстовой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, текстовой,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послетекстовой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деятельности [6, 346-347], преодолевать затруднения в области чтения [4] , учить составлять различные письменные тексты: автобиографии, аннотации, выступления, тезисы, обзоры, подбор цитат и т.д., учить работать с текстами научного стиля, графиками, диаграммами, схемами. Попутно обращать внимание на технику чтения, грамотность звучащей речи.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Подготовка к устному собеседованию, сочинению 9.1. в 9 классе на экзамене ОГЭ также способствует развитию навыков работы с поиском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подтекстовой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информации, поиску аргументов, созданию вторичных текстов.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 xml:space="preserve">Таким образом, проблема формирования читательской грамотности является одной из педагогических проблем современности. Проводимые международные мониторинги в области чтения показывают, что задания на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подтекстовую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деятельность, продуцирование даются школьником хуже, чем работа с видимой (явной) информацией, многие ребята испытывают затруднения с расшифровкой визуальной информации (графиками, схемами, картами и т.д.). При этом закономерно снижается интерес к чтению в эпоху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цифровизации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общества одновременно с повышением объемов книгоиздательской продукции [2].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Полагаем, что решение данной проблемы во многом лежит в области изменения технологии, приемов работы с текстами, популяризации чтения в стенах школы, семейном кругу. С целью углубленного смыслового (денотативного) понимания текста необходимо выполнение творческих заданий, бесед и дискуссий в ходе работы с текстом.</w:t>
      </w:r>
    </w:p>
    <w:p w:rsidR="007119FF" w:rsidRPr="007119FF" w:rsidRDefault="007119FF" w:rsidP="007119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b/>
          <w:bCs/>
          <w:color w:val="333333"/>
          <w:sz w:val="21"/>
        </w:rPr>
        <w:t>Список литературы</w:t>
      </w:r>
    </w:p>
    <w:p w:rsidR="007119FF" w:rsidRPr="007119FF" w:rsidRDefault="007119FF" w:rsidP="007119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Иноземцева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Н.В. Развитие читательской грамотности подростка как педагогическая проблема [Электронный ресурс]. Режим доступа: https://cyberleninka.ru/article/n/razvitie-chitatelskoy-gramotnosti-podrostka-kak-pedagogicheskaya-problema/viewer (Дата обращения 08.11.2020).</w:t>
      </w:r>
    </w:p>
    <w:p w:rsidR="007119FF" w:rsidRPr="007119FF" w:rsidRDefault="007119FF" w:rsidP="007119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Концепция программы поддержки детского и юношеского чтения в Российской Федерации: утв. Распоряжением Правительства РФ от 03.06.2017 №1155-р //Справочно-поисковая система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КонсультантПлюс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. (Дата обращения 08.11.2020).</w:t>
      </w:r>
    </w:p>
    <w:p w:rsidR="007119FF" w:rsidRPr="007119FF" w:rsidRDefault="007119FF" w:rsidP="007119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Международные исследования качества образования [Электронный ресурс]. Режим доступа: https://mcko.ru/pages/i_s_q_e_pisa (Дата обращения 08.11.2020).</w:t>
      </w:r>
    </w:p>
    <w:p w:rsidR="007119FF" w:rsidRPr="007119FF" w:rsidRDefault="007119FF" w:rsidP="007119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Орлова Э.А. Рекомендации по повышению уровня читательской компетентности в рамках Национальной программы поддержки и развития чтения Пособие для работников образовательных учреждений Москва 2008 . [Электронный ресурс]. Режим доступа: http://www.ifapcom.ru/files/publications/rekomend_obr_1.pdf (Дата обращения 08.11.2020).</w:t>
      </w:r>
    </w:p>
    <w:p w:rsidR="007119FF" w:rsidRPr="007119FF" w:rsidRDefault="007119FF" w:rsidP="007119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Основные подходы к оценке читательской грамотности учащихся основной школы [Электронный ресурс]. Режим доступа: http://skiv.instrao.ru/support/demonstratsionnye-materialya/%D0%A7%D0%93_2019_%D0%BE%D1%81%D0%BD%D0%BE%D0%B2%D0%BD%D1%8B%D0%B5%20%D0%BF%D0%BE%D0%B4%D1%85%D0%BE%D0%B4%D1%8B.pdf/ (Дата обращения 07.11.2020).</w:t>
      </w:r>
    </w:p>
    <w:p w:rsidR="007119FF" w:rsidRPr="007119FF" w:rsidRDefault="007119FF" w:rsidP="007119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Пранцова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Г.В., </w:t>
      </w:r>
      <w:proofErr w:type="spell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Романичева</w:t>
      </w:r>
      <w:proofErr w:type="spell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 xml:space="preserve"> Е.С. Современные стратегии чтения: теория и практика. Смысловое чтение и работа с текстом: учебное пособие. – М.: ФОРУМ, 2016. – 368 </w:t>
      </w:r>
      <w:proofErr w:type="gramStart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с</w:t>
      </w:r>
      <w:proofErr w:type="gramEnd"/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7119FF" w:rsidRPr="007119FF" w:rsidRDefault="007119FF" w:rsidP="007119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hyperlink r:id="rId5" w:history="1">
        <w:r w:rsidRPr="007119FF">
          <w:rPr>
            <w:rFonts w:ascii="Helvetica" w:eastAsia="Times New Roman" w:hAnsi="Helvetica" w:cs="Helvetica"/>
            <w:color w:val="008738"/>
            <w:sz w:val="21"/>
            <w:u w:val="single"/>
          </w:rPr>
          <w:t>Тенденции использования средств массовой информации подростками в США, 1976–2016 гг.: Рост цифровых средств массовой информации, упадок телевидения и (почти) исчезновение печати.</w:t>
        </w:r>
      </w:hyperlink>
      <w:r w:rsidRPr="007119FF">
        <w:rPr>
          <w:rFonts w:ascii="Helvetica" w:eastAsia="Times New Roman" w:hAnsi="Helvetica" w:cs="Helvetica"/>
          <w:color w:val="333333"/>
          <w:sz w:val="21"/>
          <w:szCs w:val="21"/>
        </w:rPr>
        <w:t> [Электронный ресурс]. Режим доступа: https://doi.apa.org/doiLanding?doi=10.1037%2Fppm0000203. (Дата обращения 06.11.2020).</w:t>
      </w:r>
    </w:p>
    <w:p w:rsidR="00FE3EE9" w:rsidRDefault="00FE3EE9"/>
    <w:sectPr w:rsidR="00FE3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A35C4"/>
    <w:multiLevelType w:val="multilevel"/>
    <w:tmpl w:val="A2843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0F66C5"/>
    <w:multiLevelType w:val="multilevel"/>
    <w:tmpl w:val="79B4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9FF"/>
    <w:rsid w:val="007119FF"/>
    <w:rsid w:val="00FE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1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19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7119FF"/>
    <w:rPr>
      <w:color w:val="0000FF"/>
      <w:u w:val="single"/>
    </w:rPr>
  </w:style>
  <w:style w:type="character" w:styleId="a4">
    <w:name w:val="Emphasis"/>
    <w:basedOn w:val="a0"/>
    <w:uiPriority w:val="20"/>
    <w:qFormat/>
    <w:rsid w:val="007119FF"/>
    <w:rPr>
      <w:i/>
      <w:iCs/>
    </w:rPr>
  </w:style>
  <w:style w:type="paragraph" w:styleId="a5">
    <w:name w:val="Normal (Web)"/>
    <w:basedOn w:val="a"/>
    <w:uiPriority w:val="99"/>
    <w:semiHidden/>
    <w:unhideWhenUsed/>
    <w:rsid w:val="00711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119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15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apa.org/record/2018-41062-001?doi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969</Words>
  <Characters>5527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2021-08-30T16:34:00Z</dcterms:created>
  <dcterms:modified xsi:type="dcterms:W3CDTF">2021-08-30T16:34:00Z</dcterms:modified>
</cp:coreProperties>
</file>