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CB1" w:rsidRDefault="00767CB1" w:rsidP="00767CB1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SimSun" w:hAnsi="Times New Roman" w:cs="Times New Roman"/>
          <w:bCs/>
          <w:i/>
          <w:iCs/>
          <w:kern w:val="3"/>
          <w:sz w:val="24"/>
          <w:szCs w:val="24"/>
          <w:lang w:eastAsia="zh-CN" w:bidi="hi-IN"/>
        </w:rPr>
      </w:pPr>
      <w:r w:rsidRPr="00767CB1">
        <w:rPr>
          <w:rFonts w:ascii="Times New Roman" w:eastAsia="SimSun" w:hAnsi="Times New Roman" w:cs="Times New Roman"/>
          <w:bCs/>
          <w:i/>
          <w:iCs/>
          <w:kern w:val="3"/>
          <w:sz w:val="24"/>
          <w:szCs w:val="24"/>
          <w:lang w:eastAsia="zh-CN" w:bidi="hi-IN"/>
        </w:rPr>
        <w:t xml:space="preserve">А.С. Секлетова, </w:t>
      </w:r>
    </w:p>
    <w:p w:rsidR="00767CB1" w:rsidRDefault="00767CB1" w:rsidP="00767CB1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SimSun" w:hAnsi="Times New Roman" w:cs="Times New Roman"/>
          <w:bCs/>
          <w:i/>
          <w:iCs/>
          <w:kern w:val="3"/>
          <w:sz w:val="24"/>
          <w:szCs w:val="24"/>
          <w:lang w:eastAsia="zh-CN" w:bidi="hi-IN"/>
        </w:rPr>
      </w:pPr>
      <w:r w:rsidRPr="00767CB1">
        <w:rPr>
          <w:rFonts w:ascii="Times New Roman" w:eastAsia="SimSun" w:hAnsi="Times New Roman" w:cs="Times New Roman"/>
          <w:bCs/>
          <w:i/>
          <w:iCs/>
          <w:kern w:val="3"/>
          <w:sz w:val="24"/>
          <w:szCs w:val="24"/>
          <w:lang w:eastAsia="zh-CN" w:bidi="hi-IN"/>
        </w:rPr>
        <w:t xml:space="preserve">преподаватель ДМШ №1 </w:t>
      </w:r>
    </w:p>
    <w:p w:rsidR="00767CB1" w:rsidRDefault="00767CB1" w:rsidP="00767CB1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</w:pPr>
      <w:r w:rsidRPr="00767CB1">
        <w:rPr>
          <w:rFonts w:ascii="Times New Roman" w:eastAsia="SimSun" w:hAnsi="Times New Roman" w:cs="Times New Roman"/>
          <w:bCs/>
          <w:i/>
          <w:iCs/>
          <w:kern w:val="3"/>
          <w:sz w:val="24"/>
          <w:szCs w:val="24"/>
          <w:lang w:eastAsia="zh-CN" w:bidi="hi-IN"/>
        </w:rPr>
        <w:t>им. П.И. Чайковского</w:t>
      </w:r>
      <w:r>
        <w:rPr>
          <w:rFonts w:ascii="Times New Roman" w:eastAsia="SimSun" w:hAnsi="Times New Roman" w:cs="Times New Roman"/>
          <w:bCs/>
          <w:i/>
          <w:iCs/>
          <w:kern w:val="3"/>
          <w:sz w:val="24"/>
          <w:szCs w:val="24"/>
          <w:lang w:eastAsia="zh-CN" w:bidi="hi-IN"/>
        </w:rPr>
        <w:t>,</w:t>
      </w:r>
      <w:r w:rsidRPr="00767CB1">
        <w:rPr>
          <w:rFonts w:ascii="Times New Roman" w:eastAsia="SimSun" w:hAnsi="Times New Roman" w:cs="Times New Roman"/>
          <w:bCs/>
          <w:i/>
          <w:iCs/>
          <w:kern w:val="3"/>
          <w:sz w:val="24"/>
          <w:szCs w:val="24"/>
          <w:lang w:eastAsia="zh-CN" w:bidi="hi-IN"/>
        </w:rPr>
        <w:t xml:space="preserve"> г. Казань</w:t>
      </w:r>
      <w:r w:rsidR="00203DE2"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  <w:br/>
      </w:r>
    </w:p>
    <w:p w:rsidR="00767CB1" w:rsidRDefault="00203DE2" w:rsidP="00767CB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</w:pPr>
      <w:r w:rsidRPr="00203DE2"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  <w:t xml:space="preserve">Особенности работы над камерно-вокальным репертуаром  </w:t>
      </w:r>
    </w:p>
    <w:p w:rsidR="00203DE2" w:rsidRPr="00203DE2" w:rsidRDefault="00203DE2" w:rsidP="00767CB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i/>
          <w:iCs/>
          <w:kern w:val="3"/>
          <w:sz w:val="24"/>
          <w:szCs w:val="24"/>
          <w:lang w:eastAsia="zh-CN" w:bidi="hi-IN"/>
        </w:rPr>
      </w:pPr>
      <w:r w:rsidRPr="00203DE2"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  <w:t>на примере романса Рахманинова С.В. «Ночью в саду»</w:t>
      </w:r>
      <w:r w:rsidRPr="00203DE2"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  <w:br/>
      </w:r>
    </w:p>
    <w:p w:rsidR="00767CB1" w:rsidRDefault="00767CB1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063C0A" w:rsidRDefault="00063C0A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Вокальный цикл оп.38 Сергей Васильевич Рахманинов посвятил выдающейся русской певице</w:t>
      </w:r>
      <w:r w:rsidR="00850C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063C0A">
        <w:rPr>
          <w:rFonts w:ascii="Times New Roman" w:hAnsi="Times New Roman" w:cs="Times New Roman"/>
          <w:sz w:val="28"/>
          <w:szCs w:val="28"/>
        </w:rPr>
        <w:t>Нине Павловне Кошиц (лирико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63C0A">
        <w:rPr>
          <w:rFonts w:ascii="Times New Roman" w:hAnsi="Times New Roman" w:cs="Times New Roman"/>
          <w:sz w:val="28"/>
          <w:szCs w:val="28"/>
        </w:rPr>
        <w:t>драматическ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063C0A">
        <w:rPr>
          <w:rFonts w:ascii="Times New Roman" w:hAnsi="Times New Roman" w:cs="Times New Roman"/>
          <w:sz w:val="28"/>
          <w:szCs w:val="28"/>
        </w:rPr>
        <w:t> сопрано).</w:t>
      </w:r>
    </w:p>
    <w:p w:rsidR="00767CB1" w:rsidRPr="00063C0A" w:rsidRDefault="00063C0A" w:rsidP="00850CD8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63C0A">
        <w:rPr>
          <w:rFonts w:ascii="Times New Roman" w:hAnsi="Times New Roman" w:cs="Times New Roman"/>
          <w:sz w:val="28"/>
          <w:szCs w:val="28"/>
        </w:rPr>
        <w:t>Дуэт </w:t>
      </w:r>
      <w:r>
        <w:rPr>
          <w:rFonts w:ascii="Times New Roman" w:hAnsi="Times New Roman" w:cs="Times New Roman"/>
          <w:sz w:val="28"/>
          <w:szCs w:val="28"/>
        </w:rPr>
        <w:t>замечательных</w:t>
      </w:r>
      <w:r w:rsidRPr="00063C0A">
        <w:rPr>
          <w:rFonts w:ascii="Times New Roman" w:hAnsi="Times New Roman" w:cs="Times New Roman"/>
          <w:sz w:val="28"/>
          <w:szCs w:val="28"/>
        </w:rPr>
        <w:t> музыкантов в 1916</w:t>
      </w:r>
      <w:r>
        <w:rPr>
          <w:rFonts w:ascii="Times New Roman" w:hAnsi="Times New Roman" w:cs="Times New Roman"/>
          <w:sz w:val="28"/>
          <w:szCs w:val="28"/>
        </w:rPr>
        <w:t>-1917 годах покорил своим искусством</w:t>
      </w:r>
      <w:r w:rsidRPr="00063C0A">
        <w:rPr>
          <w:rFonts w:ascii="Times New Roman" w:hAnsi="Times New Roman" w:cs="Times New Roman"/>
          <w:sz w:val="28"/>
          <w:szCs w:val="28"/>
        </w:rPr>
        <w:t>многие города страны (среди них Москва, Петроград, Киев, </w:t>
      </w:r>
      <w:r>
        <w:rPr>
          <w:rFonts w:ascii="Times New Roman" w:hAnsi="Times New Roman" w:cs="Times New Roman"/>
          <w:sz w:val="28"/>
          <w:szCs w:val="28"/>
        </w:rPr>
        <w:t xml:space="preserve">Кисловодск и др.). </w:t>
      </w:r>
      <w:r w:rsidRPr="00063C0A">
        <w:rPr>
          <w:rFonts w:ascii="Times New Roman" w:hAnsi="Times New Roman" w:cs="Times New Roman"/>
          <w:sz w:val="28"/>
          <w:szCs w:val="28"/>
        </w:rPr>
        <w:t>Певица писала в своих письмах:</w:t>
      </w:r>
      <w:r>
        <w:rPr>
          <w:rFonts w:ascii="Times New Roman" w:hAnsi="Times New Roman" w:cs="Times New Roman"/>
          <w:sz w:val="28"/>
          <w:szCs w:val="28"/>
        </w:rPr>
        <w:t xml:space="preserve"> «Ничто и никого я не пою с таким восторгом, как </w:t>
      </w:r>
      <w:r w:rsidR="00850CD8">
        <w:rPr>
          <w:rFonts w:ascii="Times New Roman" w:hAnsi="Times New Roman" w:cs="Times New Roman"/>
          <w:sz w:val="28"/>
          <w:szCs w:val="28"/>
        </w:rPr>
        <w:t>Рахманинова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50CD8">
        <w:rPr>
          <w:rFonts w:ascii="Times New Roman" w:hAnsi="Times New Roman" w:cs="Times New Roman"/>
          <w:sz w:val="28"/>
          <w:szCs w:val="28"/>
        </w:rPr>
        <w:t xml:space="preserve">. А один из критиков отмечал: «Вместе с исключительным по красоте аккомпанементом Рахманинова ее исполнение составило редкое встречающуюся полноту </w:t>
      </w:r>
      <w:r w:rsidR="00850CD8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художественного образа"</w:t>
      </w:r>
      <w:r w:rsidR="00850CD8" w:rsidRPr="00203DE2">
        <w:rPr>
          <w:rFonts w:ascii="Times New Roman" w:eastAsia="SimSun" w:hAnsi="Times New Roman" w:cs="Times New Roman"/>
          <w:kern w:val="3"/>
          <w:sz w:val="28"/>
          <w:szCs w:val="28"/>
          <w:vertAlign w:val="superscript"/>
          <w:lang w:eastAsia="zh-CN" w:bidi="hi-IN"/>
        </w:rPr>
        <w:footnoteReference w:id="1"/>
      </w:r>
      <w:r w:rsidR="00850CD8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</w:t>
      </w:r>
      <w:r w:rsidR="00850C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p w:rsidR="00203DE2" w:rsidRPr="00203DE2" w:rsidRDefault="00203DE2" w:rsidP="00C07C46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Дирижер А. Б. Хессин вспоминает: "Бывают особенно яркие художественные впечатления в жизни каждого человека, и к ним я отношу концерт, в котором пела Н. Кошиц и аккомпанировал Рахманинов. В ее исполнении была разлита исключительная теплота и задушевность, а в голосе было столько обаятельной красоты, столько нежности в тембре. Я редко встречал исполнителей со столь непосредственным ощущением композиторской мысли"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vertAlign w:val="superscript"/>
          <w:lang w:eastAsia="zh-CN" w:bidi="hi-IN"/>
        </w:rPr>
        <w:footnoteReference w:id="2"/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C07C46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Следует отметить, что</w:t>
      </w:r>
      <w:r w:rsidR="00C07C46" w:rsidRPr="00C07C4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C07C4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</w:t>
      </w:r>
      <w:r w:rsidR="00C07C46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Московской консерватории</w:t>
      </w:r>
      <w:r w:rsidR="00C07C4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 которую закончила</w:t>
      </w:r>
      <w:r w:rsidR="00C07C4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C07C46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Нина Павловна</w:t>
      </w:r>
      <w:r w:rsidR="00C07C4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 она</w:t>
      </w:r>
      <w:r w:rsidR="00C07C46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обучалась не только вокалу, но и </w:t>
      </w:r>
      <w:r w:rsidR="00C07C4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занималась </w:t>
      </w:r>
      <w:r w:rsidR="00C07C46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 классе фортепиано у К.Н. Игумнова</w:t>
      </w:r>
      <w:r w:rsidR="00C07C4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  <w:r w:rsidR="00C07C46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По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воспоминаниям С</w:t>
      </w:r>
      <w:r w:rsidR="00C07C4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 Рахманинова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C07C4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она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превосходно себе аккомпанировала. </w:t>
      </w:r>
    </w:p>
    <w:p w:rsidR="00203DE2" w:rsidRPr="00203DE2" w:rsidRDefault="00C07C46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E7EAEF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</w:t>
      </w:r>
      <w:r w:rsidR="00E167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акже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Нине Кошиц с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вои романсы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посвятили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Николай Метнер и Сергей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>Прокофьев. Примерно в те же годы, что и Рахманинов, Кошиц эмигрировала в США.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</w:pPr>
      <w:r w:rsidRPr="00203DE2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07C46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>Цикл</w:t>
      </w:r>
      <w:r w:rsidR="00C07C46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 </w:t>
      </w:r>
      <w:r w:rsidR="00C07C46" w:rsidRPr="00203DE2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оп. 38 </w:t>
      </w:r>
      <w:r w:rsidR="00C07C46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был </w:t>
      </w:r>
      <w:r w:rsidR="00C07C46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создан </w:t>
      </w:r>
      <w:r w:rsidR="00C07C46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С. Рахманиновым </w:t>
      </w:r>
      <w:r w:rsidR="00C07C46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в 1916 году после </w:t>
      </w:r>
      <w:r w:rsidR="00C07C46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длительного </w:t>
      </w:r>
      <w:r w:rsidR="00C07C46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>творческого молчания почти в полтора года, связанного с кончиной старшего друга и учителя Сергея Ивановича Танеева.</w:t>
      </w:r>
      <w:r w:rsidRPr="00203DE2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C07C46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Цикл </w:t>
      </w:r>
      <w:r w:rsidR="00C07C46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предшествует </w:t>
      </w:r>
      <w:r w:rsidR="00C07C46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фортепианным </w:t>
      </w:r>
      <w:r w:rsidR="00C07C46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этюдам-картинам оп.39. </w:t>
      </w:r>
      <w:r w:rsidRPr="00203DE2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В </w:t>
      </w:r>
      <w:r w:rsidR="00C07C46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него</w:t>
      </w:r>
      <w:r w:rsidRPr="00203DE2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в</w:t>
      </w:r>
      <w:r w:rsidR="00C07C46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ошли</w:t>
      </w:r>
      <w:r w:rsidRPr="00203DE2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шесть романсов, написанных на стихи поэтов-символистов, современников Сергея Васильевича: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«Ночью в саду у меня» (слова А. Исаакяна в переводе А. Блока), «К ней» (слова А. Белого),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val="en-US" w:eastAsia="zh-CN" w:bidi="hi-IN"/>
        </w:rPr>
        <w:t> 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«Маргаритки» (слова И. Северянина),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val="en-US" w:eastAsia="zh-CN" w:bidi="hi-IN"/>
        </w:rPr>
        <w:t> 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«Крысолов» (слова В. Я. Брюсова),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val="en-US" w:eastAsia="zh-CN" w:bidi="hi-IN"/>
        </w:rPr>
        <w:t> 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«Сон» (слова Ф. К. Сологуба),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val="en-US" w:eastAsia="zh-CN" w:bidi="hi-IN"/>
        </w:rPr>
        <w:t> 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«Ау» (слова К. Д. Бальмонта).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val="en-US" w:eastAsia="zh-CN" w:bidi="hi-IN"/>
        </w:rPr>
        <w:t> </w:t>
      </w:r>
      <w:r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 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</w:pPr>
      <w:r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ab/>
      </w:r>
      <w:r w:rsidR="00C07C46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Существует </w:t>
      </w:r>
      <w:r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>версия о том, что в опус изначально входило 8 романсов</w:t>
      </w:r>
      <w:r w:rsidR="001E0C37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>.</w:t>
      </w:r>
      <w:r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 </w:t>
      </w:r>
      <w:r w:rsidR="00C07C46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Данный </w:t>
      </w:r>
      <w:r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факт обнаружился уже после смерти композитора в нью-йоркском издании 1973 года под названием </w:t>
      </w:r>
      <w:r w:rsidRPr="00203DE2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  <w:t>«Two sacred song». Как утверждает музыковед-исследователь Антипов Валентин Иванович первая полная редакция цикла не была опубликована</w:t>
      </w:r>
      <w:r w:rsidRPr="00203DE2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vertAlign w:val="superscript"/>
          <w:lang w:eastAsia="ru-RU"/>
        </w:rPr>
        <w:footnoteReference w:id="3"/>
      </w:r>
      <w:r w:rsidRPr="00203DE2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  <w:t xml:space="preserve">.  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</w:pPr>
      <w:r w:rsidRPr="00203DE2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  <w:t>2 романса</w:t>
      </w:r>
      <w:r w:rsidR="001E0C37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  <w:t>:</w:t>
      </w:r>
      <w:r w:rsidRPr="00203DE2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  <w:t xml:space="preserve"> </w:t>
      </w:r>
      <w:r w:rsidR="001E0C37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>«Молитв</w:t>
      </w:r>
      <w:r w:rsidR="001E0C37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>а</w:t>
      </w:r>
      <w:r w:rsidR="001E0C37" w:rsidRPr="00203DE2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>» и «Все хочет петь»</w:t>
      </w:r>
      <w:r w:rsidR="001E0C37">
        <w:rPr>
          <w:rFonts w:ascii="Times New Roman" w:eastAsia="Times New Roman" w:hAnsi="Times New Roman" w:cs="Times New Roman"/>
          <w:bCs/>
          <w:kern w:val="3"/>
          <w:sz w:val="28"/>
          <w:szCs w:val="28"/>
          <w:bdr w:val="none" w:sz="0" w:space="0" w:color="auto" w:frame="1"/>
          <w:shd w:val="clear" w:color="auto" w:fill="FFFFFF"/>
          <w:lang w:eastAsia="zh-CN" w:bidi="hi-IN"/>
        </w:rPr>
        <w:t xml:space="preserve"> </w:t>
      </w:r>
      <w:r w:rsidRPr="00203DE2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  <w:t xml:space="preserve">во второй редакции </w:t>
      </w:r>
      <w:r w:rsidR="001E0C37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  <w:t xml:space="preserve">не были разрешены к изданию </w:t>
      </w:r>
      <w:r w:rsidRPr="00203DE2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  <w:t>советским правительством в связи с религиозными текстами, также был изменен их порядок.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9F7F5"/>
          <w:lang w:eastAsia="ru-RU"/>
        </w:rPr>
      </w:pPr>
      <w:r w:rsidRPr="00203DE2">
        <w:rPr>
          <w:rFonts w:ascii="Times New Roman" w:eastAsia="Times New Roman" w:hAnsi="Times New Roman" w:cs="Times New Roman"/>
          <w:sz w:val="28"/>
          <w:szCs w:val="28"/>
          <w:shd w:val="clear" w:color="auto" w:fill="F9F7F5"/>
          <w:lang w:eastAsia="ru-RU"/>
        </w:rPr>
        <w:t>Первоначальный порядок выглядел так:</w:t>
      </w:r>
      <w:r w:rsidRPr="00203DE2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9F7F5"/>
          <w:lang w:eastAsia="ru-RU"/>
        </w:rPr>
        <w:t xml:space="preserve"> 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Ау!,</w:t>
      </w:r>
      <w:r w:rsidR="00FD5B8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proofErr w:type="gramEnd"/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 Des-dur. Слова К. Д. Бальмонта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2. Крысолов, C-dur. Слова В. Я. Брюсова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3. К ней, F-dur. Слова А. Белого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4. Молитва, D-dur. Слова К. Романова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5. Маргаритки, F-dur. Слова И. Северянина.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6.  Ночью в саду у меня, g-moll — Сл. А. А. Блока (из Исаакяна)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7. Все хочет петь, E-dur. Слова Ф. Сологуба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8. Сон, Des-dur, Слова Ф. Сологуба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Для сравнения порядок в известном издании таков: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1. Ночью в саду у меня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2. К ней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3. Маргаритки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4. Крысолов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5. Сон</w:t>
      </w:r>
    </w:p>
    <w:p w:rsidR="00203DE2" w:rsidRPr="00203DE2" w:rsidRDefault="00203DE2" w:rsidP="00203DE2">
      <w:pPr>
        <w:shd w:val="clear" w:color="auto" w:fill="F9F7F5"/>
        <w:spacing w:after="27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DE2">
        <w:rPr>
          <w:rFonts w:ascii="Times New Roman" w:eastAsia="Calibri" w:hAnsi="Times New Roman" w:cs="Times New Roman"/>
          <w:sz w:val="28"/>
          <w:szCs w:val="28"/>
          <w:lang w:eastAsia="ru-RU"/>
        </w:rPr>
        <w:t>6. Ау!</w:t>
      </w:r>
    </w:p>
    <w:p w:rsidR="001E0C37" w:rsidRDefault="001E0C37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Данный цикл мы будем рассматривать в общеизвестном варианте.</w:t>
      </w:r>
      <w:r w:rsidR="003533E9" w:rsidRPr="003533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3533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Нужно отметить, что</w:t>
      </w:r>
      <w:r w:rsidR="003533E9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3533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романсы </w:t>
      </w:r>
      <w:r w:rsidR="003533E9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относятся к вокальным миниатюрам, среди </w:t>
      </w:r>
      <w:r w:rsidR="003533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которых, кроме входящих в данный цикл, такие как </w:t>
      </w:r>
      <w:r w:rsidR="003533E9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«Я жду тебя», «Здесь хорошо», «У моего окна», и другие.  </w:t>
      </w:r>
    </w:p>
    <w:p w:rsidR="00E167E9" w:rsidRPr="001E0C37" w:rsidRDefault="001E0C37" w:rsidP="001E0C37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Цикл оп.38 открывает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романс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«Ночью в саду у меня».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Как было указано ранее, </w:t>
      </w:r>
      <w:r w:rsidRPr="001E0C3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он</w:t>
      </w:r>
      <w:r>
        <w:rPr>
          <w:rFonts w:ascii="Times New Roman" w:eastAsia="SimSun" w:hAnsi="Times New Roman" w:cs="Times New Roman"/>
          <w:color w:val="FF0000"/>
          <w:kern w:val="3"/>
          <w:sz w:val="28"/>
          <w:szCs w:val="28"/>
          <w:lang w:eastAsia="zh-CN" w:bidi="hi-IN"/>
        </w:rPr>
        <w:t xml:space="preserve"> </w:t>
      </w:r>
      <w:r w:rsidR="00E167E9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написан на стихи армянского поэта и прозаика Аветика Исаакяна (1875-1957) в переводе Александра Блока.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Слова Исаакяна проникнуты традициями армянской поэзии: образ плакучей ивы воспринимается как символ девушки, безутешной от горя.</w:t>
      </w:r>
    </w:p>
    <w:p w:rsidR="00203DE2" w:rsidRPr="00203DE2" w:rsidRDefault="00203DE2" w:rsidP="00D45898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Это поэтическая вокальная миниатюра, где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с одной стороны присутствует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простая песенность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 а с другой,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стр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ая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напряженн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ая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лирическ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ая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экспресси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я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  <w:r w:rsidR="00D45898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Весь романс проникнут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проникновенной</w:t>
      </w:r>
      <w:r w:rsidR="00D45898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жалобой, щемящей тоскливой болью. Это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настроение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автор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переда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ет</w:t>
      </w:r>
      <w:r w:rsidR="00D45898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посредством обилия хроматизмов, ходов на увеличенную терцию, акцентированных ответов партии фортепиано (как всхлипывание).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Отображению</w:t>
      </w:r>
      <w:r w:rsidR="00D45898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текста способствует временная свобода и гибкость материала, связанная с отсутствием размера (как и в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романсе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«Крысолов»).  </w:t>
      </w:r>
    </w:p>
    <w:p w:rsidR="00D45898" w:rsidRDefault="00D45898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Если</w:t>
      </w:r>
      <w:r>
        <w:rPr>
          <w:rFonts w:ascii="Times New Roman" w:eastAsia="SimSun" w:hAnsi="Times New Roman" w:cs="Times New Roman"/>
          <w:color w:val="FF0000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ассм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отреть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обе партии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то можно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отмети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ть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 что С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 Рахманинов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досконально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указывает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динамические оттенки, их градация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меняется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в рамках одного такта во всем романсе.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Это способствует «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выпукл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ой»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фраз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ировке и ощущению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живо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го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звуково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го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объем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</w:p>
    <w:p w:rsidR="00D45898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Фортепианная партия, как и во многих романсах Рахманинова, достаточно самостоятельна. Она требует красивого ясного звука, слышания гармонии и пластов, построения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выразительных,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«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живых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»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фраз. 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Первое четверостишие </w:t>
      </w:r>
      <w:r w:rsidR="00D458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романса </w:t>
      </w:r>
      <w:r w:rsidR="00CB52ED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олицетворяю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</w:t>
      </w:r>
      <w:r w:rsidR="00CB52ED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плач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 Оно</w:t>
      </w:r>
      <w:r w:rsidR="00CB52ED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окрашено хоральным изложением фортепианной фактуры, обогащенной, увеличенными терциями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их разрешениями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и </w:t>
      </w:r>
      <w:r w:rsidR="00CB52ED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хроматическим движением (пятый такт).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Вокальная партия здесь сложна интонированием, особенно в первом такте, в котором движение по полутонам, опевается нота «ре».  Вокалисту следует найти правильную удобную позицию, чтобы озвучить весь материал, построенный на переходных нотах сопрано, и качество звука, которое должно соответствовать литературному тексту. 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По нашему мнению, звук здесь 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должен быть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точный, пронзительный, с щемящей болью. Концертмейстер первой своей затактовой нотой 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должен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показ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ать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характер исполнения, указанный в предыдущем предложении, 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которая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является </w:t>
      </w:r>
      <w:r w:rsidR="00CB52ED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как бы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дыханием певца, точкой отталкивания. В третьем такте ответ в виде плача, подчеркнут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ый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акцентом и тенуто.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noProof/>
          <w:kern w:val="3"/>
          <w:sz w:val="28"/>
          <w:szCs w:val="28"/>
          <w:lang w:eastAsia="ru-RU"/>
        </w:rPr>
        <w:drawing>
          <wp:inline distT="0" distB="0" distL="0" distR="0" wp14:anchorId="1B0DD22C" wp14:editId="7C4493CF">
            <wp:extent cx="5935980" cy="2026920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02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203DE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  <w:t>Рисунок – 1, 2, 3, 4 такты романса С.В. Рахманинова «Ночью в саду»</w:t>
      </w:r>
    </w:p>
    <w:p w:rsidR="00850CD8" w:rsidRDefault="00850CD8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Вторая фраза («и безутешная она</w:t>
      </w:r>
      <w:r w:rsidR="00FD5B8E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…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»)  исполняется с большим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val="en-US" w:eastAsia="zh-CN" w:bidi="hi-IN"/>
        </w:rPr>
        <w:t>espressivo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noProof/>
          <w:kern w:val="3"/>
          <w:sz w:val="28"/>
          <w:szCs w:val="28"/>
          <w:lang w:eastAsia="ru-RU"/>
        </w:rPr>
        <w:lastRenderedPageBreak/>
        <w:drawing>
          <wp:inline distT="0" distB="0" distL="0" distR="0" wp14:anchorId="6DE76462" wp14:editId="6102EAED">
            <wp:extent cx="5928360" cy="191262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203DE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  <w:t>Рисунок – 5, 6, 7, 8 такты романса С.В. Рахманинова «Ночью в саду»</w:t>
      </w:r>
    </w:p>
    <w:p w:rsidR="00850CD8" w:rsidRDefault="00850CD8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203DE2" w:rsidRPr="00203DE2" w:rsidRDefault="00CB52ED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Ф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ортепианное соло</w:t>
      </w:r>
      <w:r w:rsidRP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при п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ереход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ко второму четверостишию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символизирую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ет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слезы ивы, боль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Она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подчеркнута хроматическим ходом в средних голосах правой руки и повторяющейся «си» в верхнем регистре с ускорением за счет смены длительностей (с триолей на шестнадцатые).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 эпизоде, где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фортепиано начинает серию аккордов на доминантовом Ре мажоре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важно показать пласты фактуры разным туше, услышать изменение гармоний на ноте «ре» и передать движение вокалисту, вступающему на вторую долю следующего такта. 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noProof/>
          <w:kern w:val="3"/>
          <w:sz w:val="28"/>
          <w:szCs w:val="28"/>
          <w:lang w:eastAsia="ru-RU"/>
        </w:rPr>
        <w:drawing>
          <wp:inline distT="0" distB="0" distL="0" distR="0" wp14:anchorId="47FB7285" wp14:editId="14652BCA">
            <wp:extent cx="5935980" cy="2141220"/>
            <wp:effectExtent l="1905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203DE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  <w:t>Рисунок – 8, 9 такты романса С.В. Рахманинова «Ночью в саду»</w:t>
      </w:r>
    </w:p>
    <w:p w:rsidR="00850CD8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Фраза «Ранее утро блеснет…» приводит к кульминации (слова «плачущей горько»), 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концертмейстеру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нужно рассчитать напряжение и динамику. Сложность 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же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 партии вокалиста заключается в большом дыхании, которое также нужно рассчитать и не потерять в начале фразы. 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Здесь очень </w:t>
      </w:r>
      <w:r w:rsidR="00CB52ED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важна</w:t>
      </w:r>
      <w:r w:rsidR="00CB52ED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нтонация, особенно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в ходах на септиму и квинту. 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noProof/>
          <w:kern w:val="3"/>
          <w:sz w:val="28"/>
          <w:szCs w:val="28"/>
          <w:lang w:eastAsia="ru-RU"/>
        </w:rPr>
        <w:drawing>
          <wp:inline distT="0" distB="0" distL="0" distR="0" wp14:anchorId="084DA533" wp14:editId="25C74D93">
            <wp:extent cx="5935980" cy="4427220"/>
            <wp:effectExtent l="1905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42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DE2" w:rsidRPr="00203DE2" w:rsidRDefault="00203DE2" w:rsidP="00850CD8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203DE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  <w:t>Рисунок – 10, 11, 12, 13, 14 такты романса С.В. Рахманинова «Ночью в саду»</w:t>
      </w:r>
    </w:p>
    <w:p w:rsidR="00850CD8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p w:rsidR="00203DE2" w:rsidRPr="00203DE2" w:rsidRDefault="00203DE2" w:rsidP="00850CD8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Сама кульминация сложна в ансамблевом отношении</w:t>
      </w:r>
      <w:r w:rsidR="00CB52ED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: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пианисту не только нужно совпасть с хроматическими четвертями вокалиста, но и «окутать» обертонами стремительного пассажа.  Последняя фраза «…слезы кудрями сотрет» наполнена безысходностью, что подчеркнуто нисходящей интонацией вокалиста. Партия фортепиано напоминает колыхание ветвей ивы.  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noProof/>
          <w:kern w:val="3"/>
          <w:sz w:val="28"/>
          <w:szCs w:val="28"/>
          <w:lang w:eastAsia="ru-RU"/>
        </w:rPr>
        <w:drawing>
          <wp:inline distT="0" distB="0" distL="0" distR="0" wp14:anchorId="69F7D525" wp14:editId="63B8D6FD">
            <wp:extent cx="5935980" cy="1943100"/>
            <wp:effectExtent l="1905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203DE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  <w:t>Рисунок – 15 и 16 такты романса С.В. Рахманинова «Ночью в саду»</w:t>
      </w:r>
    </w:p>
    <w:p w:rsidR="00203DE2" w:rsidRPr="00203DE2" w:rsidRDefault="003533E9" w:rsidP="003533E9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Завершает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романс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артия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фортепиано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наполнен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ный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чувством обреченности, безнадежности, трагизмом.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Заключение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построен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на материале начала, 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тем самым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созда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ется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музыкальн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ая 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арк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 обрамляющ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ая</w:t>
      </w:r>
      <w:r w:rsidR="00203DE2"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все произведение. </w:t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noProof/>
          <w:kern w:val="3"/>
          <w:sz w:val="28"/>
          <w:szCs w:val="28"/>
          <w:lang w:eastAsia="ru-RU"/>
        </w:rPr>
        <w:drawing>
          <wp:inline distT="0" distB="0" distL="0" distR="0" wp14:anchorId="451C8CFD" wp14:editId="7359A105">
            <wp:extent cx="5935980" cy="1775460"/>
            <wp:effectExtent l="1905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203DE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  <w:t>Рисунок – 17, 18, 19 такты романса С.В. Рахманинова «Ночью в саду»</w:t>
      </w:r>
    </w:p>
    <w:p w:rsidR="00850CD8" w:rsidRDefault="00850CD8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203DE2" w:rsidRPr="00203DE2" w:rsidRDefault="00203DE2" w:rsidP="00203DE2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На примере приведенного романса </w:t>
      </w:r>
      <w:r w:rsidR="003533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можно сделать 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вывод о том, что, несмотря на краткость и небольшое количество нотного материала, романс </w:t>
      </w:r>
      <w:r w:rsidR="003533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отображает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большую палитру чувств и эмоций, которые </w:t>
      </w:r>
      <w:r w:rsidR="00850C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необходимо</w:t>
      </w:r>
      <w:r w:rsidRPr="00203DE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передать всеми доступными музыкальными средствами и приемами.</w:t>
      </w:r>
    </w:p>
    <w:p w:rsidR="007E74CD" w:rsidRDefault="007E74CD"/>
    <w:sectPr w:rsidR="007E74CD" w:rsidSect="00063C0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DE2" w:rsidRDefault="00203DE2" w:rsidP="00203DE2">
      <w:pPr>
        <w:spacing w:after="0" w:line="240" w:lineRule="auto"/>
      </w:pPr>
      <w:r>
        <w:separator/>
      </w:r>
    </w:p>
  </w:endnote>
  <w:endnote w:type="continuationSeparator" w:id="0">
    <w:p w:rsidR="00203DE2" w:rsidRDefault="00203DE2" w:rsidP="0020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DE2" w:rsidRDefault="00203DE2" w:rsidP="00203DE2">
      <w:pPr>
        <w:spacing w:after="0" w:line="240" w:lineRule="auto"/>
      </w:pPr>
      <w:r>
        <w:separator/>
      </w:r>
    </w:p>
  </w:footnote>
  <w:footnote w:type="continuationSeparator" w:id="0">
    <w:p w:rsidR="00203DE2" w:rsidRDefault="00203DE2" w:rsidP="00203DE2">
      <w:pPr>
        <w:spacing w:after="0" w:line="240" w:lineRule="auto"/>
      </w:pPr>
      <w:r>
        <w:continuationSeparator/>
      </w:r>
    </w:p>
  </w:footnote>
  <w:footnote w:id="1">
    <w:p w:rsidR="00850CD8" w:rsidRPr="00C07C46" w:rsidRDefault="00850CD8" w:rsidP="00850CD8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07C46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C07C46">
        <w:rPr>
          <w:rFonts w:ascii="Times New Roman" w:hAnsi="Times New Roman" w:cs="Times New Roman"/>
          <w:sz w:val="20"/>
          <w:szCs w:val="20"/>
        </w:rPr>
        <w:t xml:space="preserve"> Рахманинов С.В.: Альбом [Текст] / Сост. Е.Н. Рудакова, общ. ред., вступит. статья и текст А.И. Кандинского. – М.: Музыка, 1982. – С.106</w:t>
      </w:r>
    </w:p>
  </w:footnote>
  <w:footnote w:id="2">
    <w:p w:rsidR="00203DE2" w:rsidRPr="00F11FE8" w:rsidRDefault="00203DE2" w:rsidP="00203DE2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F11FE8">
        <w:rPr>
          <w:rFonts w:ascii="Times New Roman" w:hAnsi="Times New Roman" w:cs="Times New Roman"/>
        </w:rPr>
        <w:t xml:space="preserve">Ширинский Н. </w:t>
      </w:r>
      <w:proofErr w:type="gramStart"/>
      <w:r w:rsidRPr="00F11FE8">
        <w:rPr>
          <w:rFonts w:ascii="Times New Roman" w:hAnsi="Times New Roman" w:cs="Times New Roman"/>
        </w:rPr>
        <w:t>Нина  Кошиц</w:t>
      </w:r>
      <w:proofErr w:type="gramEnd"/>
      <w:r w:rsidRPr="00F11FE8">
        <w:rPr>
          <w:rFonts w:ascii="Times New Roman" w:hAnsi="Times New Roman" w:cs="Times New Roman"/>
        </w:rPr>
        <w:t xml:space="preserve">   [Электронный ресурс] / Н.  Ширинский // Русская народная линия: информационно-аналитическая служба. – Режим</w:t>
      </w:r>
      <w:r>
        <w:rPr>
          <w:rFonts w:ascii="Times New Roman" w:hAnsi="Times New Roman" w:cs="Times New Roman"/>
        </w:rPr>
        <w:t xml:space="preserve"> чтения</w:t>
      </w:r>
    </w:p>
  </w:footnote>
  <w:footnote w:id="3">
    <w:p w:rsidR="00203DE2" w:rsidRPr="001E0C37" w:rsidRDefault="00203DE2" w:rsidP="00203DE2">
      <w:pPr>
        <w:jc w:val="both"/>
        <w:rPr>
          <w:rFonts w:ascii="Times New Roman" w:hAnsi="Times New Roman" w:cs="Times New Roman"/>
          <w:sz w:val="20"/>
          <w:szCs w:val="20"/>
        </w:rPr>
      </w:pPr>
      <w:r w:rsidRPr="001E0C37">
        <w:rPr>
          <w:rStyle w:val="a5"/>
          <w:rFonts w:ascii="Times New Roman" w:hAnsi="Times New Roman" w:cs="Times New Roman"/>
        </w:rPr>
        <w:footnoteRef/>
      </w:r>
      <w:r w:rsidRPr="001E0C37">
        <w:rPr>
          <w:rFonts w:ascii="Times New Roman" w:hAnsi="Times New Roman" w:cs="Times New Roman"/>
        </w:rPr>
        <w:t xml:space="preserve"> </w:t>
      </w:r>
      <w:r w:rsidRPr="001E0C37">
        <w:rPr>
          <w:rFonts w:ascii="Times New Roman" w:hAnsi="Times New Roman" w:cs="Times New Roman"/>
          <w:sz w:val="20"/>
          <w:szCs w:val="20"/>
        </w:rPr>
        <w:t>Творчество С.В. Рахманинова 1911 – 1917 и 1918 – 1940 годов: Великий</w:t>
      </w:r>
      <w:r w:rsidRPr="001E0C37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1E0C37">
        <w:rPr>
          <w:rFonts w:ascii="Times New Roman" w:hAnsi="Times New Roman" w:cs="Times New Roman"/>
          <w:sz w:val="20"/>
          <w:szCs w:val="20"/>
        </w:rPr>
        <w:t>Художник</w:t>
      </w:r>
    </w:p>
    <w:p w:rsidR="00203DE2" w:rsidRPr="001E0C37" w:rsidRDefault="00203DE2" w:rsidP="00203DE2">
      <w:pPr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9F7F5"/>
          <w:lang w:eastAsia="ru-RU"/>
        </w:rPr>
      </w:pPr>
      <w:r w:rsidRPr="001E0C37">
        <w:rPr>
          <w:rFonts w:ascii="Times New Roman" w:eastAsia="Times New Roman" w:hAnsi="Times New Roman" w:cs="Times New Roman"/>
          <w:sz w:val="20"/>
          <w:szCs w:val="20"/>
          <w:shd w:val="clear" w:color="auto" w:fill="F9F7F5"/>
          <w:lang w:eastAsia="ru-RU"/>
        </w:rPr>
        <w:t xml:space="preserve">https://valentinantipov.com/2012/10/25/%D1%82%D0%B2%D0%BE%D1%80%D1%87%D0%B5%D1%81%D1%82%D0%B2%D0%BE-%D1%81-%D0%B2-%D1%80%D0%B0%D1%85%D0%BC%D0%B0%D0%BD%D0%B8%D0%BD%D0%BE%D0%B2%D0%B0-1911-1917-%D0%B8-1918-1940-%D0%B3/  </w:t>
      </w:r>
    </w:p>
    <w:p w:rsidR="00203DE2" w:rsidRPr="001E0C37" w:rsidRDefault="00203DE2" w:rsidP="00203DE2">
      <w:pPr>
        <w:pStyle w:val="a3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DE2"/>
    <w:rsid w:val="00063C0A"/>
    <w:rsid w:val="001E0C37"/>
    <w:rsid w:val="00203DE2"/>
    <w:rsid w:val="003533E9"/>
    <w:rsid w:val="00767CB1"/>
    <w:rsid w:val="007E74CD"/>
    <w:rsid w:val="00850CD8"/>
    <w:rsid w:val="00C07C46"/>
    <w:rsid w:val="00CB52ED"/>
    <w:rsid w:val="00D45898"/>
    <w:rsid w:val="00E167E9"/>
    <w:rsid w:val="00FD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E206"/>
  <w15:chartTrackingRefBased/>
  <w15:docId w15:val="{68BA4579-B3B1-4DA7-AE84-E2FEB098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03D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03DE2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203D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milyare3@gmail.com</dc:creator>
  <cp:keywords/>
  <dc:description/>
  <cp:lastModifiedBy>milyare3@gmail.com</cp:lastModifiedBy>
  <cp:revision>1</cp:revision>
  <dcterms:created xsi:type="dcterms:W3CDTF">2019-11-22T17:11:00Z</dcterms:created>
  <dcterms:modified xsi:type="dcterms:W3CDTF">2019-11-22T20:13:00Z</dcterms:modified>
</cp:coreProperties>
</file>