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C3" w:rsidRDefault="009F5E1C">
      <w:pPr>
        <w:tabs>
          <w:tab w:val="left" w:pos="709"/>
        </w:tabs>
        <w:suppressAutoHyphens/>
        <w:spacing w:after="0" w:line="240" w:lineRule="auto"/>
        <w:ind w:firstLine="567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Муниципальное бюджетное учреждение дополнительного образования</w:t>
      </w:r>
    </w:p>
    <w:p w:rsidR="001401C3" w:rsidRDefault="009F5E1C">
      <w:pPr>
        <w:tabs>
          <w:tab w:val="left" w:pos="709"/>
        </w:tabs>
        <w:suppressAutoHyphens/>
        <w:spacing w:after="0" w:line="240" w:lineRule="auto"/>
        <w:ind w:firstLine="567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Детская школа искусств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</w:rPr>
        <w:t>Белокалитвинского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района</w:t>
      </w:r>
    </w:p>
    <w:p w:rsidR="001401C3" w:rsidRDefault="001401C3">
      <w:pPr>
        <w:tabs>
          <w:tab w:val="left" w:pos="709"/>
        </w:tabs>
        <w:suppressAutoHyphens/>
        <w:spacing w:after="0" w:line="240" w:lineRule="auto"/>
        <w:ind w:firstLine="567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ind w:firstLine="567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ind w:firstLine="567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ind w:firstLine="567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ind w:firstLine="567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ind w:firstLine="567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ind w:firstLine="567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ind w:firstLine="567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ind w:firstLine="567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ind w:firstLine="567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ind w:firstLine="567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ind w:firstLine="567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ind w:firstLine="567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Calibri" w:eastAsia="Calibri" w:hAnsi="Calibri" w:cs="Calibri"/>
          <w:color w:val="00000A"/>
        </w:rPr>
      </w:pPr>
    </w:p>
    <w:p w:rsidR="001401C3" w:rsidRDefault="009F5E1C">
      <w:pPr>
        <w:tabs>
          <w:tab w:val="left" w:pos="709"/>
        </w:tabs>
        <w:suppressAutoHyphens/>
        <w:spacing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Методический доклад преподавателя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</w:t>
      </w:r>
    </w:p>
    <w:p w:rsidR="001401C3" w:rsidRDefault="009F5E1C">
      <w:pPr>
        <w:tabs>
          <w:tab w:val="left" w:pos="709"/>
        </w:tabs>
        <w:suppressAutoHyphens/>
        <w:spacing w:line="240" w:lineRule="auto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</w:rPr>
        <w:t>Братышевой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Людмилы Николаевны на тему</w:t>
      </w:r>
    </w:p>
    <w:p w:rsidR="001401C3" w:rsidRDefault="009F5E1C">
      <w:pPr>
        <w:tabs>
          <w:tab w:val="left" w:pos="709"/>
        </w:tabs>
        <w:suppressAutoHyphens/>
        <w:spacing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«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>Работа над гаммами и этюдами»</w:t>
      </w:r>
    </w:p>
    <w:p w:rsidR="001401C3" w:rsidRDefault="001401C3">
      <w:pPr>
        <w:tabs>
          <w:tab w:val="left" w:pos="709"/>
        </w:tabs>
        <w:suppressAutoHyphens/>
        <w:spacing w:line="240" w:lineRule="auto"/>
        <w:jc w:val="center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9F5E1C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9F5E1C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9F5E1C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9F5E1C">
      <w:pPr>
        <w:tabs>
          <w:tab w:val="left" w:pos="709"/>
        </w:tabs>
        <w:suppressAutoHyphens/>
        <w:spacing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8"/>
        </w:rPr>
        <w:t>.Б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8"/>
        </w:rPr>
        <w:t>елая Калитва</w:t>
      </w:r>
    </w:p>
    <w:p w:rsidR="001401C3" w:rsidRDefault="009F5E1C">
      <w:pPr>
        <w:tabs>
          <w:tab w:val="left" w:pos="709"/>
        </w:tabs>
        <w:suppressAutoHyphens/>
        <w:spacing w:line="240" w:lineRule="auto"/>
        <w:jc w:val="center"/>
        <w:rPr>
          <w:rFonts w:ascii="Calibri" w:eastAsia="Calibri" w:hAnsi="Calibri" w:cs="Calibri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lastRenderedPageBreak/>
        <w:t>План.</w:t>
      </w: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1     Значение систематической работы над гаммами.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2     Последовательность в изучении гамм в связи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спецификой инструмента.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3    Работа над этюдами.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4    </w:t>
      </w:r>
      <w:r>
        <w:rPr>
          <w:rFonts w:ascii="Times New Roman" w:eastAsia="Times New Roman" w:hAnsi="Times New Roman" w:cs="Times New Roman"/>
          <w:color w:val="00000A"/>
          <w:sz w:val="28"/>
        </w:rPr>
        <w:t>Список рекомендуемой литературы.</w:t>
      </w: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>1. Значение систематической работы над гаммами и этюдами.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>Игра на музыкальном инструменте представляет собой один из сложнейших видов человеческой деятельности, который требует для своей реализации в высокой степени личностное развитие в целом, и отлаженную работу психических процессов — воли, внимания, ощущений,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восприятия, мышления, памяти, воображения, - и безупречную согласованность тонких физических движений. Высокого художественного результата невозможно достигнуть, если музыкант не владеет техникой игровых движений, через которые он и передает при помощи му</w:t>
      </w:r>
      <w:r>
        <w:rPr>
          <w:rFonts w:ascii="Times New Roman" w:eastAsia="Times New Roman" w:hAnsi="Times New Roman" w:cs="Times New Roman"/>
          <w:color w:val="00000A"/>
          <w:sz w:val="28"/>
        </w:rPr>
        <w:t>зыкального инструмента свои мысли и чувства.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>Искусство игры на любом музыкальном инструменте основывается на единстве художественного образа и технического мастерства, которое позволяет музыканту донести до слушателя то, что он хочет выразить и сказать сво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им исполнением. Постоянное совершенствование своего технического мастерства — это, по сути, работа музыканта над расширением своих возможностей в воплощении художественных образов. И можно только приветствовать настойчивые усилия, прилагаемые музыкантом в </w:t>
      </w:r>
      <w:r>
        <w:rPr>
          <w:rFonts w:ascii="Times New Roman" w:eastAsia="Times New Roman" w:hAnsi="Times New Roman" w:cs="Times New Roman"/>
          <w:color w:val="00000A"/>
          <w:sz w:val="28"/>
        </w:rPr>
        <w:t>этом направлении. Ибо музыкант с плохой техникой, говоря словами В.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И.Немировича-Данченко, подобен солдату с плохим оружием, и никакая храбрость не спасет его от поражения.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Гаммы, упражнения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этюды-важ</w:t>
      </w:r>
      <w:r>
        <w:rPr>
          <w:rFonts w:ascii="Times New Roman" w:eastAsia="Times New Roman" w:hAnsi="Times New Roman" w:cs="Times New Roman"/>
          <w:color w:val="00000A"/>
          <w:sz w:val="28"/>
        </w:rPr>
        <w:t>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тренировочный материал для приобретения технических навыков. 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Гаммообразные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последовательности встречаются в домровом и балалаечном репертуаре  наиболее часто. Поэтому систематическая работа над гаммами — надежный помощник в преодолении технических тру</w:t>
      </w:r>
      <w:r>
        <w:rPr>
          <w:rFonts w:ascii="Times New Roman" w:eastAsia="Times New Roman" w:hAnsi="Times New Roman" w:cs="Times New Roman"/>
          <w:color w:val="00000A"/>
          <w:sz w:val="28"/>
        </w:rPr>
        <w:t>дностей в исполняемых музыкальных произведениях: это наиболее удобные варианты аппликатуры при смене позиций, а также различные штриховые и ритмические группировки.</w:t>
      </w: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2.Последовательность в изучении гамм в связи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спецификой инструмента.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>Приступая к систематической работе над гаммами и арпеджио, необходимо ставить перед собой исполнительские задачи.</w:t>
      </w:r>
    </w:p>
    <w:p w:rsidR="001401C3" w:rsidRDefault="009F5E1C">
      <w:pPr>
        <w:numPr>
          <w:ilvl w:val="0"/>
          <w:numId w:val="1"/>
        </w:numPr>
        <w:tabs>
          <w:tab w:val="left" w:pos="709"/>
        </w:tabs>
        <w:suppressAutoHyphens/>
        <w:spacing w:line="240" w:lineRule="auto"/>
        <w:ind w:left="1440" w:hanging="360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Одна из главных задач — работа над звуком. Трудно играть все ноты гаммы одинаково ровным, продолжительно красивым звуком с очень коротким и не</w:t>
      </w:r>
      <w:r>
        <w:rPr>
          <w:rFonts w:ascii="Times New Roman" w:eastAsia="Times New Roman" w:hAnsi="Times New Roman" w:cs="Times New Roman"/>
          <w:color w:val="00000A"/>
          <w:sz w:val="28"/>
        </w:rPr>
        <w:t>заметным переходом с одной ноты на другую. Важно уметь играть гаммы по возможности однородным звуком на всех струнах инструмента. Например, начав играть «прикрытым» матовым звуком на 3 струне домры, стараться играть звуком такого же характера и дальше. Осо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бенно трудно сохранить такой звук, играя на струне «ре», так как звучит она резко и открыто. Помочь преодолеть эту техническую трудность поможет правильный нажим медиатора на струну, правильно выстроенная динамика звука. Отрабатывая однородность звучания  </w:t>
      </w:r>
      <w:r>
        <w:rPr>
          <w:rFonts w:ascii="Times New Roman" w:eastAsia="Times New Roman" w:hAnsi="Times New Roman" w:cs="Times New Roman"/>
          <w:color w:val="00000A"/>
          <w:sz w:val="28"/>
        </w:rPr>
        <w:t>на гаммах, приобретаются умение и навыки в исполнении музыкальных фраз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предложений в пьесах.  Еще сложнее добиться свободного красивого звука в верхнем регистре инструмента. Верхний регистр звучит напряженно и резко. Только достаточно натренированные пал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ьцы левой руки могут легко и свободно преодолеть натяжение струн в высокой позиции, что дает возможность освободить звук от напряжения, облагородить и углубить его. Правая рука тоже должна иметь натренированные крепкие мышцы. Главное в процессе работы над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звуком — соединение звуков в отдельные построения, поэтому надо слышать не только продолжительность исполняемого звука, но и его соединение с последующим. Необходимо как можно дольше держать палец на ладу исполняемой ноты и переход на следующий лад делать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в самый последний момент.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Играя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таким образом в медленном темпе, мы подготавливаем себя к быстрой игре.</w:t>
      </w:r>
    </w:p>
    <w:p w:rsidR="001401C3" w:rsidRDefault="009F5E1C">
      <w:pPr>
        <w:numPr>
          <w:ilvl w:val="0"/>
          <w:numId w:val="1"/>
        </w:numPr>
        <w:tabs>
          <w:tab w:val="left" w:pos="709"/>
        </w:tabs>
        <w:suppressAutoHyphens/>
        <w:spacing w:line="240" w:lineRule="auto"/>
        <w:ind w:left="1440" w:hanging="360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Гаммы и арпеджио по своей структуре очень полезный материал для отработки всевозможных приемов игры, штрихов. Игра различными штрихами помогает оттачива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ть точные и частые удары правой рукой. Частые короткие движения в правой руке нужны также для приема игры тремоло. Чем короче движения, тем больше их можно успеть сделать на каждой ноте, следовательно, тремоло будет качественнее. Необходимо играть гаммы  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,ч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уравнять звучание   на тремоло и    ударом вверх, следует сохранять рабочее состояние мышц предплечья и кисти, которые было при исполнении тремоло. Удар на   должен быть коротким с четкой атакой.</w:t>
      </w:r>
    </w:p>
    <w:p w:rsidR="001401C3" w:rsidRDefault="009F5E1C">
      <w:pPr>
        <w:numPr>
          <w:ilvl w:val="0"/>
          <w:numId w:val="1"/>
        </w:numPr>
        <w:tabs>
          <w:tab w:val="left" w:pos="709"/>
        </w:tabs>
        <w:suppressAutoHyphens/>
        <w:spacing w:line="240" w:lineRule="auto"/>
        <w:ind w:left="1440" w:hanging="360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 xml:space="preserve">Изучение гамм нужно начинать с Ми мажора и Ля </w:t>
      </w:r>
      <w:r>
        <w:rPr>
          <w:rFonts w:ascii="Times New Roman" w:eastAsia="Times New Roman" w:hAnsi="Times New Roman" w:cs="Times New Roman"/>
          <w:color w:val="00000A"/>
          <w:sz w:val="28"/>
        </w:rPr>
        <w:t>мажора, так как естественное положение пальцев левой руки в этих тональностях помогает лучше всего усвоить 1-ю позицию. Затем следует перейти к изучению смены позиций. Работая над их соединением, нужно помнить, что палец левой руки, предназначенный для исп</w:t>
      </w:r>
      <w:r>
        <w:rPr>
          <w:rFonts w:ascii="Times New Roman" w:eastAsia="Times New Roman" w:hAnsi="Times New Roman" w:cs="Times New Roman"/>
          <w:color w:val="00000A"/>
          <w:sz w:val="28"/>
        </w:rPr>
        <w:t>олнения последнего звука в данной позиции, при переходе в новую позицию не должен отрываться от струны до тех пор, пока другой палец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предназначенный для исполнения первого звука в этой позиции, не займет нужного положения.</w:t>
      </w:r>
    </w:p>
    <w:p w:rsidR="001401C3" w:rsidRDefault="009F5E1C">
      <w:pPr>
        <w:tabs>
          <w:tab w:val="left" w:pos="60"/>
          <w:tab w:val="left" w:pos="709"/>
        </w:tabs>
        <w:suppressAutoHyphens/>
        <w:spacing w:line="240" w:lineRule="auto"/>
        <w:ind w:left="30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Отработка четких быстрых перех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одов для смены позиции с помощью предплечья. Причем, начинать это движение лучше с кистевого сустава. Он должен пойти вперед и повлечь за собой кисть и пальцы, а не наоборот. Основания указательного и большого пальцев, находясь с боков грифа, должны точно </w:t>
      </w:r>
      <w:r>
        <w:rPr>
          <w:rFonts w:ascii="Times New Roman" w:eastAsia="Times New Roman" w:hAnsi="Times New Roman" w:cs="Times New Roman"/>
          <w:color w:val="00000A"/>
          <w:sz w:val="28"/>
        </w:rPr>
        <w:t>фиксировать приход в нужную позицию, не сменяя своего соотношения. Только в этом случае пальцы остаются свободными, без напряжения и могут легко продолжать игру в другой позиции. Сначала лучше отработать более короткие переходы в соседнюю позицию, затем со</w:t>
      </w:r>
      <w:r>
        <w:rPr>
          <w:rFonts w:ascii="Times New Roman" w:eastAsia="Times New Roman" w:hAnsi="Times New Roman" w:cs="Times New Roman"/>
          <w:color w:val="00000A"/>
          <w:sz w:val="28"/>
        </w:rPr>
        <w:t>единять 1 с 3, 1 с 4, 1 с 5. Тренируя более далекие переносы руки сверху вниз и наоборот, нужно вырабатывать в себе чувство расстояния, чтобы можно было выполнять этот прием, не глядя на гриф.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Работать над гаммами и арпеджио целесообразно в следующем поряд</w:t>
      </w:r>
      <w:r>
        <w:rPr>
          <w:rFonts w:ascii="Times New Roman" w:eastAsia="Times New Roman" w:hAnsi="Times New Roman" w:cs="Times New Roman"/>
          <w:color w:val="00000A"/>
          <w:sz w:val="28"/>
        </w:rPr>
        <w:t>ке: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 играть в одну октаву, постепенно включая отдельные более сложные элементы игры;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 играть различными ритмическими вариантами и штрихами;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 играть в двух смежных позициях на двух соседних струнах в 1 и 2 позициях, начиная с 1 пальца;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 играть в двух не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смежных позициях 1 — 3, 4 — 2, начиная со 2 пальца;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- играть в двух более отдаленных позициях 1 — 4, начиная с 3 пальца.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Если музыкант не изучит гаммы и арпеджио во всех тональностях, не усвоит аппликатуру, технические навыки, которые стали бы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привычными, ему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будет трудно разучивать любой музыка3льный материал и тратить на это гораздо больше времени. </w:t>
      </w: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1401C3" w:rsidRPr="009F5E1C" w:rsidRDefault="009F5E1C" w:rsidP="009F5E1C">
      <w:pPr>
        <w:tabs>
          <w:tab w:val="left" w:pos="709"/>
        </w:tabs>
        <w:suppressAutoHyphens/>
        <w:spacing w:line="240" w:lineRule="auto"/>
        <w:jc w:val="center"/>
        <w:rPr>
          <w:rFonts w:ascii="Calibri" w:eastAsia="Calibri" w:hAnsi="Calibri" w:cs="Calibri"/>
          <w:b/>
          <w:color w:val="00000A"/>
        </w:rPr>
      </w:pPr>
      <w:r w:rsidRPr="009F5E1C">
        <w:rPr>
          <w:rFonts w:ascii="Times New Roman" w:eastAsia="Times New Roman" w:hAnsi="Times New Roman" w:cs="Times New Roman"/>
          <w:b/>
          <w:color w:val="00000A"/>
          <w:sz w:val="28"/>
        </w:rPr>
        <w:lastRenderedPageBreak/>
        <w:t>Работа н</w:t>
      </w:r>
      <w:r w:rsidRPr="009F5E1C">
        <w:rPr>
          <w:rFonts w:ascii="Times New Roman" w:eastAsia="Times New Roman" w:hAnsi="Times New Roman" w:cs="Times New Roman"/>
          <w:b/>
          <w:color w:val="00000A"/>
          <w:sz w:val="28"/>
        </w:rPr>
        <w:t>ад этюдами.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Этюды являются переходным мостиком от гамм к исполнению </w:t>
      </w:r>
      <w:r>
        <w:rPr>
          <w:rFonts w:ascii="Times New Roman" w:eastAsia="Times New Roman" w:hAnsi="Times New Roman" w:cs="Times New Roman"/>
          <w:color w:val="00000A"/>
          <w:sz w:val="28"/>
        </w:rPr>
        <w:t>художественных произведений. В этюдах преследуется цель — дальнейшее совершенствование разнообразных приемов исполнительской техники. Здесь более тщательно отрабатываются ритмический рисун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ок, смена нюансов, чередование штрихов, применительно к ритмическому рисунку, движению и характеру исполнения музыки, оттачиваются переходы в разные позиции. В первую очередь следует брать такие этюды, которые недостаточно хорошо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освоены. 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>Приступая к разу</w:t>
      </w:r>
      <w:r>
        <w:rPr>
          <w:rFonts w:ascii="Times New Roman" w:eastAsia="Times New Roman" w:hAnsi="Times New Roman" w:cs="Times New Roman"/>
          <w:color w:val="00000A"/>
          <w:sz w:val="28"/>
        </w:rPr>
        <w:t>чиванию этюда, исполнителю нужно предварительно ознакомиться с музыкой и характером ее исполнения, проиграв весь этюд от начала до конца. Потом составить исполнительский план, определить главную кульминацию, кульминационные узлы периодов, предложений, фраз</w:t>
      </w:r>
      <w:r>
        <w:rPr>
          <w:rFonts w:ascii="Times New Roman" w:eastAsia="Times New Roman" w:hAnsi="Times New Roman" w:cs="Times New Roman"/>
          <w:color w:val="00000A"/>
          <w:sz w:val="28"/>
        </w:rPr>
        <w:t>. Определить трудные места, наметить приемы игры, штрихи. Важно выделить в этюде все трудные места и поработать над ними отдельно. Для лучшего исполнения применять различные варианты и штрихи. Например, этюд, написанный легато, исполнять стаккато и наоборо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т. Когда все трудные элементы игры будут выучены отдельно, весь этюд следует играть несколько раз в медленном темпе. Если все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все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трудные места исполняются уверенно, можно темп немного ускорить, обращая внимание на художественное исполнение в целом. Полезн</w:t>
      </w:r>
      <w:r>
        <w:rPr>
          <w:rFonts w:ascii="Times New Roman" w:eastAsia="Times New Roman" w:hAnsi="Times New Roman" w:cs="Times New Roman"/>
          <w:color w:val="00000A"/>
          <w:sz w:val="28"/>
        </w:rPr>
        <w:t>о для установки точного ритма и темпа играть с метрономом. Однако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играть с ним рекомендуется лишь изредка. Полезно чаще играть этюд в сопровождении, слушая не только себя, но и сопровождение, обращая внимание на ансамблевое звучание. В процессе работы над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этюдом необходимо тщательно оттачивать динамическую сторону исполнения. Если у домриста слабо развита мускулатура пальцев, ему полезно играть этюд в медленном темпе и громко (некоторое время). Это заставит исполнителя плотнее прижимать струны к ладам инст</w:t>
      </w:r>
      <w:r>
        <w:rPr>
          <w:rFonts w:ascii="Times New Roman" w:eastAsia="Times New Roman" w:hAnsi="Times New Roman" w:cs="Times New Roman"/>
          <w:color w:val="00000A"/>
          <w:sz w:val="28"/>
        </w:rPr>
        <w:t>румента и добиваться полного звучания. Разучивая этюд, важно логично, членораздельно исполнять музыкальные фразы, предложения. Законченной музыкальной мыслью является период — 2 предложения — 2 фразы. Вот о грамотном исполнении этих частиц идет речь. Кажда</w:t>
      </w:r>
      <w:r>
        <w:rPr>
          <w:rFonts w:ascii="Times New Roman" w:eastAsia="Times New Roman" w:hAnsi="Times New Roman" w:cs="Times New Roman"/>
          <w:color w:val="00000A"/>
          <w:sz w:val="28"/>
        </w:rPr>
        <w:t>я фраза в своем развитии имеет вершину. Переход от одной фразы к другой должен быть спокойным и своевременным. Нельзя сокращать последнюю ноту предыдущей фразы и наскакивать на первую ноту следующей фразы.</w:t>
      </w:r>
    </w:p>
    <w:p w:rsidR="001401C3" w:rsidRDefault="009F5E1C">
      <w:pPr>
        <w:tabs>
          <w:tab w:val="left" w:pos="709"/>
        </w:tabs>
        <w:suppressAutoHyphens/>
        <w:spacing w:line="240" w:lineRule="auto"/>
        <w:ind w:left="15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</w:rPr>
        <w:t>Дальнейшее совершенствование исполнения этюда состоит в отработке хорошего качества звука, в исполнении тончайших нюансов. Не увлекайтесь преждевременной игрой в быстром темпе. Полезно отрабатывать этюд в медленном и среднем темпах. Чистая и качественная и</w:t>
      </w:r>
      <w:r>
        <w:rPr>
          <w:rFonts w:ascii="Times New Roman" w:eastAsia="Times New Roman" w:hAnsi="Times New Roman" w:cs="Times New Roman"/>
          <w:color w:val="00000A"/>
          <w:sz w:val="28"/>
        </w:rPr>
        <w:t>гра на любом музыкальном инструменте связана с выработкой точных пространственных и мускульных ощущений, которые формируют в коре головного мозга соответствующие нервные «следы». Ясные и четко проторенные следы образуют в мозге как бы колею, по которой впо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следствии движется </w:t>
      </w: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 xml:space="preserve">исполнительский процесс. Лучшим методом для этого является крепкая и точная игра в медленном темпе. Такая игра формирует одновременно и четкие музыкально-слуховые представления, и точные пространственно — двигательные ощущения. Ровность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игры и преувеличенные акценты воспитывают ритмическое чувство и ощущение метрической устойчивости, столь необходимые при игре в быстром темпе. </w:t>
      </w:r>
    </w:p>
    <w:p w:rsidR="001401C3" w:rsidRDefault="001401C3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9F5E1C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1401C3" w:rsidRDefault="009F5E1C">
      <w:pPr>
        <w:tabs>
          <w:tab w:val="left" w:pos="105"/>
          <w:tab w:val="left" w:pos="709"/>
        </w:tabs>
        <w:suppressAutoHyphens/>
        <w:spacing w:line="240" w:lineRule="auto"/>
        <w:ind w:left="105" w:firstLine="15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lastRenderedPageBreak/>
        <w:t>Список рекомендуемой литературы.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Александров А. Школа игры на трехструнной домре. 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Говорушко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П. Методика обучен</w:t>
      </w:r>
      <w:r>
        <w:rPr>
          <w:rFonts w:ascii="Times New Roman" w:eastAsia="Times New Roman" w:hAnsi="Times New Roman" w:cs="Times New Roman"/>
          <w:color w:val="00000A"/>
          <w:sz w:val="28"/>
        </w:rPr>
        <w:t>ия игре на народных инструментах.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8"/>
        </w:rPr>
        <w:t>Петрушин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</w:rPr>
        <w:t xml:space="preserve"> В. Музыкальная психология.</w:t>
      </w:r>
    </w:p>
    <w:p w:rsidR="001401C3" w:rsidRDefault="009F5E1C">
      <w:pPr>
        <w:tabs>
          <w:tab w:val="left" w:pos="709"/>
        </w:tabs>
        <w:suppressAutoHyphens/>
        <w:spacing w:line="240" w:lineRule="auto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Чунин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В. Русская домра — проводник в мир музыки.</w:t>
      </w:r>
    </w:p>
    <w:p w:rsidR="001401C3" w:rsidRDefault="009F5E1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Чунин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В. Школа игры на трехструнной домре.</w:t>
      </w: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1401C3" w:rsidRDefault="001401C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sectPr w:rsidR="0014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E6E2D"/>
    <w:multiLevelType w:val="multilevel"/>
    <w:tmpl w:val="E2C893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401C3"/>
    <w:rsid w:val="001401C3"/>
    <w:rsid w:val="009F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</cp:lastModifiedBy>
  <cp:revision>3</cp:revision>
  <dcterms:created xsi:type="dcterms:W3CDTF">2021-11-16T15:22:00Z</dcterms:created>
  <dcterms:modified xsi:type="dcterms:W3CDTF">2021-11-16T15:24:00Z</dcterms:modified>
</cp:coreProperties>
</file>