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D" w:rsidRPr="007C71FD" w:rsidRDefault="0049419F" w:rsidP="007C71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Коллективные </w:t>
      </w:r>
      <w:r w:rsidR="007C71FD" w:rsidRPr="007C71FD">
        <w:rPr>
          <w:rFonts w:ascii="Times New Roman" w:hAnsi="Times New Roman"/>
          <w:b/>
          <w:sz w:val="28"/>
          <w:szCs w:val="28"/>
        </w:rPr>
        <w:t>творческие дела</w:t>
      </w:r>
    </w:p>
    <w:p w:rsidR="007C71FD" w:rsidRDefault="007C71FD" w:rsidP="007C71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учебных заведениях широко используются коллективные творческие дела, так как  именно с помощью них можно осуществить взаимодействие дошкольного и школьного блоков.</w:t>
      </w:r>
      <w:proofErr w:type="gramEnd"/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воспитания коллективная деятельность и коллективно – творческие дела (КТД) уже на протяжении десятилетий занимают свое особое место. Это замечательная методика, технология, прекрасно учитывающая и психологию подросткового и юношеского возраста, способна творить чудеса. (Пашкова 2006: 87)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КТД планируется и проводится в течение месяца, меняя название и содержание каждый год. Каждому </w:t>
      </w:r>
      <w:proofErr w:type="gramStart"/>
      <w:r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определить для себя долю, характер своего участия и ответственности. КТД позволяет создать в школе широкое игровое творческое дело, которое заключается в том, что каждый участник дела находится в ситуации придумывания, сочинительства, фантазии, то есть создания чего – то нового. Результатом такого творчества становится </w:t>
      </w:r>
      <w:proofErr w:type="gramStart"/>
      <w:r>
        <w:rPr>
          <w:rFonts w:ascii="Times New Roman" w:hAnsi="Times New Roman"/>
          <w:sz w:val="28"/>
          <w:szCs w:val="28"/>
        </w:rPr>
        <w:t>написанный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 или взрослыми по отдельности или совместно сценарии, сочинения, стихи, песни, на сцене демонстрируются спектакли, миниатюры, сценки. Во время планирования и организации КТД взрослые и дети приобретают большой опыт организаторских навыков, каждый может подать идею, предложить новый способ действия, взяться за организацию определенного этапа коллективного творческого дела. (Саенко 2004: 19)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Коллективное творческое дело – верный путь соединения и создания школьной общности на длительное время, создание и расширение пространства, способствующего развитию личности.</w:t>
      </w:r>
    </w:p>
    <w:p w:rsidR="007C71FD" w:rsidRDefault="007C71FD" w:rsidP="007C71F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</w:t>
      </w:r>
    </w:p>
    <w:p w:rsidR="007C71FD" w:rsidRDefault="007C71FD" w:rsidP="007C71F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Дают возможность</w:t>
      </w:r>
    </w:p>
    <w:p w:rsidR="007C71FD" w:rsidRDefault="00C04AB2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1pt;margin-top:3.2pt;width:26.3pt;height:25.7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302.2pt;margin-top:3.2pt;width:28.2pt;height:25.7pt;z-index:251660288" o:connectortype="straight">
            <v:stroke endarrow="block"/>
          </v:shape>
        </w:pict>
      </w:r>
      <w:r w:rsidR="007C71F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C71FD" w:rsidRDefault="007C71FD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C71FD" w:rsidRDefault="007C71FD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Учителю                              Ученику                  </w:t>
      </w:r>
    </w:p>
    <w:p w:rsidR="007C71FD" w:rsidRDefault="007C71FD" w:rsidP="007C71FD">
      <w:pPr>
        <w:spacing w:after="0" w:line="360" w:lineRule="auto"/>
        <w:ind w:left="7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Реализовать и развить свои способности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Р</w:t>
      </w:r>
      <w:proofErr w:type="gramEnd"/>
      <w:r>
        <w:rPr>
          <w:rFonts w:ascii="Times New Roman" w:hAnsi="Times New Roman"/>
          <w:sz w:val="28"/>
          <w:szCs w:val="28"/>
        </w:rPr>
        <w:t xml:space="preserve">азвивать творческий потенциал </w:t>
      </w:r>
    </w:p>
    <w:p w:rsidR="007C71FD" w:rsidRDefault="007C71FD" w:rsidP="007C71FD">
      <w:pPr>
        <w:spacing w:after="0" w:line="360" w:lineRule="auto"/>
        <w:ind w:left="7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знания об окружающем мире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С</w:t>
      </w:r>
      <w:proofErr w:type="gramEnd"/>
      <w:r>
        <w:rPr>
          <w:rFonts w:ascii="Times New Roman" w:hAnsi="Times New Roman"/>
          <w:sz w:val="28"/>
          <w:szCs w:val="28"/>
        </w:rPr>
        <w:t xml:space="preserve">овершенствовать </w:t>
      </w:r>
      <w:proofErr w:type="spellStart"/>
      <w:r>
        <w:rPr>
          <w:rFonts w:ascii="Times New Roman" w:hAnsi="Times New Roman"/>
          <w:sz w:val="28"/>
          <w:szCs w:val="28"/>
        </w:rPr>
        <w:t>органзаторские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способности</w:t>
      </w:r>
    </w:p>
    <w:p w:rsidR="007C71FD" w:rsidRDefault="007C71FD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навыки проектирования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И</w:t>
      </w:r>
      <w:proofErr w:type="gramEnd"/>
      <w:r>
        <w:rPr>
          <w:rFonts w:ascii="Times New Roman" w:hAnsi="Times New Roman"/>
          <w:sz w:val="28"/>
          <w:szCs w:val="28"/>
        </w:rPr>
        <w:t>зучить классный коллектив</w:t>
      </w:r>
    </w:p>
    <w:p w:rsidR="007C71FD" w:rsidRDefault="007C71FD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Проявить организаторские умения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О</w:t>
      </w:r>
      <w:proofErr w:type="gramEnd"/>
      <w:r>
        <w:rPr>
          <w:rFonts w:ascii="Times New Roman" w:hAnsi="Times New Roman"/>
          <w:sz w:val="28"/>
          <w:szCs w:val="28"/>
        </w:rPr>
        <w:t>бъединить учащихся, педагогов,    родителей</w:t>
      </w:r>
    </w:p>
    <w:p w:rsidR="007C71FD" w:rsidRDefault="007C71FD" w:rsidP="007C71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коммуникативные навыки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У</w:t>
      </w:r>
      <w:proofErr w:type="gramEnd"/>
      <w:r>
        <w:rPr>
          <w:rFonts w:ascii="Times New Roman" w:hAnsi="Times New Roman"/>
          <w:sz w:val="28"/>
          <w:szCs w:val="28"/>
        </w:rPr>
        <w:t>правлять процессом развития   личности</w:t>
      </w:r>
      <w:r>
        <w:rPr>
          <w:rFonts w:ascii="Times New Roman" w:hAnsi="Times New Roman"/>
          <w:sz w:val="28"/>
          <w:szCs w:val="28"/>
        </w:rPr>
        <w:tab/>
        <w:t>школьника</w:t>
      </w:r>
    </w:p>
    <w:p w:rsidR="007C71FD" w:rsidRDefault="007C71FD" w:rsidP="007C71F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способности к рефлексии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Р</w:t>
      </w:r>
      <w:proofErr w:type="gramEnd"/>
      <w:r>
        <w:rPr>
          <w:rFonts w:ascii="Times New Roman" w:hAnsi="Times New Roman"/>
          <w:sz w:val="28"/>
          <w:szCs w:val="28"/>
        </w:rPr>
        <w:t>азвить рефлексивные способности</w:t>
      </w:r>
    </w:p>
    <w:p w:rsidR="007C71FD" w:rsidRDefault="007C71FD" w:rsidP="007C71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коллектива единомышленников</w:t>
      </w:r>
    </w:p>
    <w:p w:rsidR="007C71FD" w:rsidRDefault="007C71FD" w:rsidP="007C71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культурного пространства</w:t>
      </w:r>
    </w:p>
    <w:p w:rsidR="007C71FD" w:rsidRDefault="007C71FD" w:rsidP="007C71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личности</w:t>
      </w:r>
    </w:p>
    <w:tbl>
      <w:tblPr>
        <w:tblpPr w:leftFromText="180" w:rightFromText="180" w:vertAnchor="text" w:horzAnchor="margin" w:tblpY="2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</w:tblGrid>
      <w:tr w:rsidR="007C71FD" w:rsidTr="007808C4">
        <w:trPr>
          <w:cantSplit/>
          <w:trHeight w:val="2667"/>
        </w:trPr>
        <w:tc>
          <w:tcPr>
            <w:tcW w:w="719" w:type="dxa"/>
            <w:textDirection w:val="btLr"/>
          </w:tcPr>
          <w:p w:rsidR="007C71FD" w:rsidRDefault="007C71FD" w:rsidP="007808C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</w:tr>
    </w:tbl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 – это групповая деятельность, имеющая игровую инструментовку, совокупность приемов, действий, выстроенных в определенной последовательности. Организация КТД происходит в несколько этапов (Саенко 2004: 20)</w:t>
      </w:r>
    </w:p>
    <w:tbl>
      <w:tblPr>
        <w:tblpPr w:leftFromText="180" w:rightFromText="180" w:vertAnchor="text" w:horzAnchor="page" w:tblpX="4563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</w:tblGrid>
      <w:tr w:rsidR="007C71FD" w:rsidTr="007808C4">
        <w:trPr>
          <w:trHeight w:val="1002"/>
        </w:trPr>
        <w:tc>
          <w:tcPr>
            <w:tcW w:w="966" w:type="dxa"/>
          </w:tcPr>
          <w:p w:rsidR="007C71FD" w:rsidRDefault="007C71FD" w:rsidP="007808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дела</w:t>
            </w:r>
          </w:p>
        </w:tc>
      </w:tr>
    </w:tbl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</w:tblGrid>
      <w:tr w:rsidR="007C71FD" w:rsidTr="007808C4">
        <w:trPr>
          <w:cantSplit/>
          <w:trHeight w:val="2104"/>
        </w:trPr>
        <w:tc>
          <w:tcPr>
            <w:tcW w:w="952" w:type="dxa"/>
            <w:textDirection w:val="btLr"/>
          </w:tcPr>
          <w:p w:rsidR="007C71FD" w:rsidRDefault="007C71FD" w:rsidP="007808C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анализ</w:t>
            </w:r>
          </w:p>
        </w:tc>
      </w:tr>
    </w:tbl>
    <w:p w:rsidR="007C71FD" w:rsidRDefault="00C04AB2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31" style="position:absolute;left:0;text-align:left;margin-left:-1.6pt;margin-top:.05pt;width:88.9pt;height:25.65pt;z-index:251665408;mso-position-horizontal-relative:text;mso-position-vertical-relative:text">
            <v:textbox>
              <w:txbxContent>
                <w:p w:rsidR="007C71FD" w:rsidRDefault="007C71FD" w:rsidP="007C71FD">
                  <w:r>
                    <w:t>МО</w:t>
                  </w:r>
                </w:p>
              </w:txbxContent>
            </v:textbox>
          </v:oval>
        </w:pict>
      </w: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</w:tblGrid>
      <w:tr w:rsidR="007C71FD" w:rsidTr="007808C4">
        <w:trPr>
          <w:trHeight w:val="938"/>
        </w:trPr>
        <w:tc>
          <w:tcPr>
            <w:tcW w:w="1384" w:type="dxa"/>
            <w:tcBorders>
              <w:bottom w:val="single" w:sz="4" w:space="0" w:color="auto"/>
            </w:tcBorders>
          </w:tcPr>
          <w:p w:rsidR="007C71FD" w:rsidRDefault="007C71FD" w:rsidP="007808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этап</w:t>
            </w:r>
          </w:p>
        </w:tc>
      </w:tr>
    </w:tbl>
    <w:tbl>
      <w:tblPr>
        <w:tblpPr w:leftFromText="180" w:rightFromText="180" w:vertAnchor="text" w:horzAnchor="page" w:tblpX="711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</w:tblGrid>
      <w:tr w:rsidR="007C71FD" w:rsidTr="007808C4">
        <w:trPr>
          <w:trHeight w:val="841"/>
        </w:trPr>
        <w:tc>
          <w:tcPr>
            <w:tcW w:w="1384" w:type="dxa"/>
          </w:tcPr>
          <w:p w:rsidR="007C71FD" w:rsidRDefault="007C71FD" w:rsidP="007808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этап</w:t>
            </w:r>
          </w:p>
        </w:tc>
      </w:tr>
    </w:tbl>
    <w:tbl>
      <w:tblPr>
        <w:tblpPr w:leftFromText="180" w:rightFromText="180" w:vertAnchor="text" w:horzAnchor="page" w:tblpX="8557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</w:tblGrid>
      <w:tr w:rsidR="007C71FD" w:rsidTr="007808C4">
        <w:trPr>
          <w:trHeight w:val="926"/>
        </w:trPr>
        <w:tc>
          <w:tcPr>
            <w:tcW w:w="1015" w:type="dxa"/>
          </w:tcPr>
          <w:p w:rsidR="007C71FD" w:rsidRDefault="007C71FD" w:rsidP="007808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КТД</w:t>
            </w:r>
          </w:p>
        </w:tc>
      </w:tr>
    </w:tbl>
    <w:p w:rsidR="007C71FD" w:rsidRDefault="00C04AB2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9" style="position:absolute;left:0;text-align:left;margin-left:7.15pt;margin-top:19.05pt;width:85.15pt;height:25.65pt;z-index:251663360;mso-position-horizontal-relative:text;mso-position-vertical-relative:text">
            <v:textbox>
              <w:txbxContent>
                <w:p w:rsidR="007C71FD" w:rsidRDefault="007C71FD" w:rsidP="007C71FD">
                  <w:r>
                    <w:t>Учащиеся</w:t>
                  </w:r>
                </w:p>
              </w:txbxContent>
            </v:textbox>
          </v:oval>
        </w:pic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FD" w:rsidRDefault="00C04AB2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8" style="position:absolute;left:0;text-align:left;margin-left:13.75pt;margin-top:2.1pt;width:85.15pt;height:25.65pt;z-index:251662336">
            <v:textbox>
              <w:txbxContent>
                <w:p w:rsidR="007C71FD" w:rsidRDefault="007C71FD" w:rsidP="007C71FD">
                  <w:proofErr w:type="spellStart"/>
                  <w:r>
                    <w:t>Класс</w:t>
                  </w:r>
                  <w:proofErr w:type="gramStart"/>
                  <w:r>
                    <w:t>.р</w:t>
                  </w:r>
                  <w:proofErr w:type="gramEnd"/>
                  <w:r>
                    <w:t>ук</w:t>
                  </w:r>
                  <w:proofErr w:type="spellEnd"/>
                  <w:r>
                    <w:t>.</w:t>
                  </w:r>
                </w:p>
              </w:txbxContent>
            </v:textbox>
          </v:oval>
        </w:pict>
      </w:r>
    </w:p>
    <w:p w:rsidR="007C71FD" w:rsidRDefault="00C04AB2" w:rsidP="007C71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30" style="position:absolute;left:0;text-align:left;margin-left:13.75pt;margin-top:11.05pt;width:85.15pt;height:25.65pt;z-index:251664384">
            <v:textbox>
              <w:txbxContent>
                <w:p w:rsidR="007C71FD" w:rsidRDefault="007C71FD" w:rsidP="007C71FD">
                  <w:r>
                    <w:t>Орг</w:t>
                  </w:r>
                  <w:proofErr w:type="gramStart"/>
                  <w:r>
                    <w:t>.д</w:t>
                  </w:r>
                  <w:proofErr w:type="gramEnd"/>
                  <w:r>
                    <w:t>осуга</w:t>
                  </w:r>
                </w:p>
              </w:txbxContent>
            </v:textbox>
          </v:oval>
        </w:pic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КТД. Проводится во всех параллелях в форме игр, линеек, рекламы. На нем сообщается тема, цель, задачи этапы, задания по этапам.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этап. Они </w:t>
      </w:r>
      <w:proofErr w:type="gramStart"/>
      <w:r>
        <w:rPr>
          <w:rFonts w:ascii="Times New Roman" w:hAnsi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ребята готовятся к КТД, находят новую информацию, приобретают новые знания, умения, навыки. Промежуточный этап проводится в разных формах: устных журналов, </w:t>
      </w:r>
      <w:r>
        <w:rPr>
          <w:rFonts w:ascii="Times New Roman" w:hAnsi="Times New Roman"/>
          <w:sz w:val="28"/>
          <w:szCs w:val="28"/>
        </w:rPr>
        <w:lastRenderedPageBreak/>
        <w:t>конференций, посиделок, ярмарок. Их главная цель – накопление знаний, умений.  (</w:t>
      </w:r>
      <w:proofErr w:type="spellStart"/>
      <w:r>
        <w:rPr>
          <w:rFonts w:ascii="Times New Roman" w:hAnsi="Times New Roman"/>
          <w:sz w:val="28"/>
          <w:szCs w:val="28"/>
        </w:rPr>
        <w:t>Горюхина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2004: 26)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Результатом промежуточного этапа становится: выпуск газет, плакатов, кроссвордов, карт, макетов, литературных произведений и т.д.</w:t>
      </w:r>
      <w:proofErr w:type="gramEnd"/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Заканчивается этап школьной выставкой творческих работ, в которой может принять участие каждый. Работы могут быть коллективные, индивидуальные, семейные, единственное условие, чтобы они соответствовали теме КТД.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КТД. Итогом любого КТД становятся театрализованные представления, интеллектуальные, развлекательные, спортивные игры, литературные гостиные, телепередачи на сцене, КВН, конкурсы и т.д.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же подводятся итого КТД. Лучшие участники получают дипломы, благодарственные письма за лучший сценарий, лучшую творческую работу, самое яркое выступление, лучший реферат. Вручаются медали выдающимся знатокам, эрудитам, организаторам КТД и т.д.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КТД. После </w:t>
      </w:r>
      <w:proofErr w:type="gramStart"/>
      <w:r>
        <w:rPr>
          <w:rFonts w:ascii="Times New Roman" w:hAnsi="Times New Roman"/>
          <w:sz w:val="28"/>
          <w:szCs w:val="28"/>
        </w:rPr>
        <w:t>итогового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КТД в каждом классе  проводится анализ. Это один из важнейших этапов работы: оценка результата, соотнесение полученного с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/>
          <w:sz w:val="28"/>
          <w:szCs w:val="28"/>
        </w:rPr>
        <w:t>. Для педагога это педагогическая диагностика. Основные вопросы, которые должны быть обсуждены: Как было организованно дело? Что мы узнали друг о друге? Что делал лично я, чему научился, что узнал? Какие мысли и чувства вызвало у тебя КТД? Отмечают успехи класса и лично каждого.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классного руководителя – фиксировать и отслеживать роли и позиции, которые занимают дети в </w:t>
      </w:r>
      <w:proofErr w:type="gramStart"/>
      <w:r>
        <w:rPr>
          <w:rFonts w:ascii="Times New Roman" w:hAnsi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КТД. (Абросимова 2004: 39)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КТД становится личностно ориентированным. А их периодичность и повторяемость способствует приобретению положительных привычек, формированию характера, приобретению  и развитию способностей. (Саенко 2004: 24)</w:t>
      </w:r>
    </w:p>
    <w:p w:rsidR="00C04AB2" w:rsidRDefault="00C04AB2"/>
    <w:p w:rsidR="007C71FD" w:rsidRDefault="007C71FD"/>
    <w:p w:rsidR="007C71FD" w:rsidRDefault="007C71FD" w:rsidP="007C71F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Пашкова А.М. Массовые формы внеклассной работы с младшими школьниками // Начальная школа. – 2006. № 7. – С. 87 – 91.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Шараборова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Ю.Д. Взаимовлияние дополнительного образования и внеурочной деятельности // Классный руководитель. – 2002. № 6. – С. 111 – 113.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Л.С. Планирование и организация КТД // Классный руководитель. – 2004. № 2. – С. 18 – 24.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  КТД и работа в содружествах // Классный руководитель. – 2004. № 2 . – С. 24 – 37.</w:t>
      </w:r>
    </w:p>
    <w:p w:rsidR="007C71FD" w:rsidRDefault="007C71FD" w:rsidP="007C7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Абросимова Е.И. Коллективные творческие дела // Классный руководитель. – 2004. № 2. – С. 37 – 41.</w:t>
      </w:r>
    </w:p>
    <w:p w:rsidR="007C71FD" w:rsidRDefault="007C71FD"/>
    <w:sectPr w:rsidR="007C71FD" w:rsidSect="00C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6DF"/>
    <w:multiLevelType w:val="hybridMultilevel"/>
    <w:tmpl w:val="243EC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C71FD"/>
    <w:rsid w:val="0049419F"/>
    <w:rsid w:val="007C71FD"/>
    <w:rsid w:val="009504AA"/>
    <w:rsid w:val="00C04AB2"/>
    <w:rsid w:val="00F1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1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Company>Home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2017-06-21T03:33:00Z</dcterms:created>
  <dcterms:modified xsi:type="dcterms:W3CDTF">2017-06-21T03:50:00Z</dcterms:modified>
</cp:coreProperties>
</file>